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184 vom 1. Januar 1994</w:t>
      </w:r>
    </w:p>
    <w:p>
      <w:r>
        <w:t>Bundesgericht (BGE), 1994-01-01, DE</w:t>
      </w:r>
    </w:p>
    <w:p>
      <w:r>
        <w:rPr>
          <w:b/>
        </w:rPr>
        <w:t xml:space="preserve">Quelle: </w:t>
      </w:r>
      <w:r>
        <w:t>https://mcp.opencaselaw.ch/entscheid/bge_BGE_120_Ia_184</w:t>
      </w:r>
    </w:p>
    <w:p>
      <w:r>
        <w:t>FR: BGE BGE 120 Ia 184 du 1 janvier 1994</w:t>
      </w:r>
    </w:p>
    <w:p>
      <w:r>
        <w:t>IT: BGE BGE 120 Ia 184 del 1 gennaio 1994</w:t>
      </w:r>
    </w:p>
    <w:p>
      <w:pPr>
        <w:pStyle w:val="Heading2"/>
      </w:pPr>
      <w:r>
        <w:t>Regeste</w:t>
      </w:r>
    </w:p>
    <w:p>
      <w:r>
        <w:t>Regeste Anspruch auf einen unbefangenen Richter; Disziplinarverfahren (Art. 4 BV, Art. 58 Abs. 1 BV und Art. 6 Ziff. 1 EMRK). Tragweite der Garantie des verfassungsmässigen Richters nach Art. 58 Abs. 1 BV und Art. 6 Ziff. 1 EMRK (E. 2b). Die Regelung des Kantons Obwalden, wonach die Obergerichtskommission als Aufsichtsbehörde über das Schuldbetreibungs- und Konkurswesen die Tätigkeit eines Betreibungsbeamten überprüft, als Ermächtigungsbehörde über die Eröffnung eines Strafverfahrens gegen ihn entscheidet und anschliessend über die Anordnung eines Disziplinarverfahrens gegen ihn befindet, verletzt den Anspruch auf einen unbefangenen Richter nicht (E. 2c-e). Ist Art. 6 Ziff. 1 EMRK auch auf ein Disziplinarverfahren anwendbar? (E. 2f).</w:t>
      </w:r>
    </w:p>
    <w:p>
      <w:r>
        <w:t>Regeste Droit à un juge impartial; procédure disciplinaire (art. 4 et 58 al. 1 Cst., art. 6 par. 1 CEDH). Portée de la garantie du juge constitutionnel selon les art. 58 al. 1 Cst. et 6 par. 1 CEDH (consid. 2b). La réglementation du canton d'Obwald en vertu de laquelle la commission du Tribunal cantonal (Obergerichtskommission) contrôle l'activité d'un fonctionnaire des poursuites en sa qualité d'autorité de surveillance en matière de poursuites et de faillites, décide de l'ouverture d'une procédure pénale contre lui en tant qu'autorité compétente pour autoriser une telle poursuite et, consécutivement, statue sur l'opportunité de soumettre l'intéressé à une procédure disciplinaire, ne viole pas le droit à un juge impartial (consid. 2c-e). L'art. 6 par. 1 CEDH est-il également applicable à une procédure disciplinaire? (consid. 2f).</w:t>
      </w:r>
    </w:p>
    <w:p>
      <w:r>
        <w:t>Regesto Diritto a un giudice imparziale; procedura disciplinare (art. 4 e 58 cpv. 1 Cost., art. 6 n. 1 CEDU). Portata della garanzia di un giudice costituzionale giusta l'art. 58 cpv. 1 Cost. e l'art. 6 n. 1 CEDU (consid. 2b). Non viola il diritto a un giudice imparziale la regolamentazione del Canton Obwaldo, in virtù della quale la Commissione del Tribunale cantonale (Obergerichtskommission) controlla l'attività di un funzionario delle esecuzioni nella sua qualità di autorità di sorveglianza in materia di esecuzioni e fallimenti, decide dell'apertura di una procedura penale nei suoi confronti quale autorità a ciò preposta e, in seguito, statuisce sull'opportunità di sottoporre l'interessato a una procedura disciplinare (consid. 2c-e). L'art. 6 n. 1 CEDU è applicabile anche a una procedura disciplinare? (consid. 2f).</w:t>
      </w:r>
    </w:p>
    <w:p>
      <w:pPr>
        <w:pStyle w:val="Heading2"/>
      </w:pPr>
      <w:r>
        <w:t>Erwägungen</w:t>
      </w:r>
    </w:p>
    <w:p>
      <w:r>
        <w:rPr>
          <w:b/>
        </w:rPr>
        <w:t>E. 2</w:t>
      </w:r>
    </w:p>
    <w:p>
      <w:r>
        <w:t>Der Beschwerdeführer rügt einen Verstoss gegen Art. 4 BV , Art. 58 Abs. 1 BV und Art. 6 Ziff. 1 EMRK . Seiner Ansicht nach waren die Mitglieder der Obergerichtskommission, die bereits die Beschwerde gegen die Pfändung gutgeheissen, die Eröffnung eines Strafverfahrens gegen ihn beschlossen hatten und auf die dagegen erhobene Nichtigkeitsbeschwerde nicht eingetreten waren, beim Entscheid, nunmehr ein Disziplinarverfahren gegen ihn zu eröffnen, in unzulässiger Weise vorbefasst. a) Art. 58 Abs. 1 BV gewährleistet unter anderm die Beurteilung einer Streitsache durch ein unparteiisches und unabhängiges Gericht. Entscheidet nicht eine gerichtliche, sondern eine verwaltungsbehördliche Rechtspflegeinstanz, so ergibt sich aus Art. 4 BV ein gleichartiger BGE 120 Ia 184 S. 187 Anspruch ( BGE 117 Ia 408 E. 2a S. 410; BGE 114 Ia 278 E. 3a S. 279). Ob es sich bei der Obergerichtskommission in ihrer Eigenschaft als Aufsichtsbehörde über das Betreibungs- und Konkurswesen (Art. 69 Abs. 1 GOG) um eine Verwaltungsinstanz handelt und daher Art. 4 BV und nicht Art. 58 BV anwendbar ist, kann vorliegend offenbleiben, da Art. 4 BV hier nicht über Art. 58 BV hinausgeht und die Rüge der unzulässigen Vorbefassung, wie nachfolgend darzulegen ist, ohnehin fehlgeht. b) Das Bundesgericht hat die Tragweite der Garantie des verfassungsmässigen Richters nach Art. 58 Abs. 1 BV und Art. 6 Ziff. 1 EMRK mehrfach näher umschrieben. Demnach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Eine gewisse Besorgnis der Voreingenommenheit kann bei den Parteien immer dann entstehen, wenn der Richter sich bereits in einem frühern Zeitpunkt mit der Angelegenheit befasste ( BGE 119 Ia 221 E. 3 S. 226 mit Hinweisen). Entscheidend ist, ob er dabei eine ähnliche oder qualitativ gleiche Frage geprüft hat. Zulässig ist die Vorbefassung, wenn die konkret zu entscheidenden Rechtsfragen gleichwohl als offen erscheinen und nicht der Anschein der Vorbestimmtheit erweckt wird ( BGE 117 Ia 157 E. 2a S. 160; weitere Hinweise zum Recht auf einen verfassungsmässigen Richter bei: SPÜHLER, Die Praxis der staatsrechtlichen Beschwerde, Bern 1994, S. 170 ff. sowie HAEFLIGER, Die Europäische Menschenrechtskonvention und die Schweiz, Bern 1993, S. 135 ff.). c) Soweit der Beschwerdeführer bereits in der kantonalen Zuständigkeitsregelung eine Gefahr der Voreingenommenheit erblickt, ist er auf die Pflicht der Kantone hinzuweisen, eine Aufsichtsbehörde zu bezeichnen, welche die Geschäftsführung der Betreibungs- und Konkursämter zu überwachen, ihre Beamten oder Angestellten gegebenenfalls mit einer Ordnungsstrafe zu belegen und zugleich die gegen ihre Verfügungen gerichteten Beschwerden zu behandeln hat ( Art. 13, Art. 14 und Art. 17 SchKG ; vergleiche auch: AMONN, Grundriss des Schuldbetreibungs- und Konkursrechts, 5.A. Bern 1993, S. 38 N. 29 sowie FRITZSCHE/WALDER, Schuldbetreibung und Konkurs nach schweizerischem Recht, Band I, 3.A. Zürich 1984, S. 51/52 und S. 54); dass die genannten Aufgaben von der selben Instanz wahrzunehmen sind, geht somit auf eine bundesrechtliche BGE 120 Ia 184 S. 188 Anordnung zurück, an welche das Bundesgericht gebunden ist ( Art. 113 Abs. 3 BV ). d) Im Kanton Obwalden amtet die Obergerichtskommission nicht nur als Aufsichtsbehörde über das Schuldbetreibungs- und Konkurswesen (Art. 69 Abs. 1 GOG). Sie entscheidet als Ermächtigungsbehörde auch über die Eröffnung eines Strafverfahrens gegen Beamte und Behördenmitglieder wegen strafbarer Handlungen, die ihre Amtsführung betreffen (Art. 53 Abs. 4 GOG). Als Beschwerdeinstanz behandelt die Obergerichtskommission Fragen aus dem Schuldbetreibungs- und Konkursrecht und damit eine völlig andere Domäne denn als Ermächtigungsbehörde in Strafsachen; insoweit erweckt die Kompetenzordnung keine Bedenken. e) Zu prüfen ist allerdings, ob die gleiche Behörde nicht nur über die Eröffnung eines Strafverfahrens, sondern ebenso über die Anordnung von Disziplinarmassnahmen gegen die selbe Amtsperson befinden darf. Die Obergerichtskommission weist im angefochtenen Entscheid auf die kantonale Praxis hin, wonach die Eröffnung eines Strafverfahrens nur bei offensichtlicher Grundlosigkeit verweigert werden darf. Der Beschwerdeführer stellt weder diese Rechtsprechung in Frage, noch bestreitet er, dass Anhaltspunkte für ein strafrechtlich relevantes Verhalten seinerseits vorgelegen hatten. Auf die von ihm gegen den Einleitungsbeschluss erhobene Nichtigkeitsklage ist die Obergerichtskommission aus verfahrensrechtlichen Gründen nicht eingetreten; zum strafrechtlichen Vorwurf hat sie somit in keiner nur einigermassen einlässlichen Weise Stellung genommen. Die anschliessende Strafuntersuchung wurde vom Verhöramt geführt und die Verurteilung erfolgte durch die Strafkommission. Dass diese beiden Instanzen ihre Verantwortung in völliger Unabhängigkeit von der Obergerichtskommission wahrnehmen (Art. 44 ff. GOG), wird vom Beschwerdeführer denn auch nicht in Zweifel gezogen. In dem ihn betreffenden Urteil vom 9. Juli 1992 hat das Bundesgericht den Beschwerdeführer zudem bereits darauf hingewiesen, dass weder durch die Eröffnung eines Strafverfahrens noch durch die Überweisung einer Strafsache an das zuständige Gericht einer Beurteilung der Schuldfrage vorgegriffen wird ( BGE 115 Ia 311 E. 2c S. 315). Während die Obergerichtskommission als Ermächtigungsbehörde ausschliesslich prüfte, ob ein hinreichender Verdacht für ein strafbares Verhalten des Beschwerdeführers vorlag, hatte sie beim Beschluss, nach seiner rechtskräftigen Verurteilung über ihn ein Disziplinarverfahren zu eröffnen, BGE 120 Ia 184 S. 189 einzig den ordentlichen Geschäftsgang des Betreibungsamtes und die Pflichterfüllung des Amtsträgers im Auge (zum Zweck des Disziplinarverfahrens grundsätzlich: BELLWALD, Die disziplinarische Verantwortlichkeit der Beamten, Diss. Bern 1985, S. 22 ff. sowie HÄFELIN/MÜLLER, Grundriss des Allgemeinen Verwaltungsrechts, 2. A. Zürich 1993, N. 961). Die Entscheidfindung ergeht somit auf einer jeweils völlig andern Grundlage und richtet sich nach den für den betreffenden Rechtsbereich geltenden Regeln. Damit hatte die gleiche Behörde keineswegs eine ähnliche, geschweige denn eine qualitativ gleiche Frage zu beantworten; eine unzulässige Vorbefassung der Obergerichtskommission aus organisatorischer Sicht oder aufgrund der teilweise identischen Besetzung liegt nicht vor. Eine Verletzung von Art. 58 BV ist demnach nicht gegeben. f) Der Beschwerdeführer rügt ferner eine Verletzung von Art. 6 Ziff. 1 EMRK . Da diese Bestimmung nur in bezug auf den Anwendungsbereich, nicht aber in bezug auf die Grundsätze richterlicher Unabhängigkeit einen über Art. 58 BV hinausgehenden Schutz gewährt ( BGE 119 Ia 221 E. 3 S. 226; BGE 118 Ia 282 E. 3e S. 286; BGE 117 Ia 190 E. 6b S. 191; VILLIGER, Handbuch der Europäischen Menschenrechtskonvention, Zürich 1993, S. 224 N. 373), kann an sich offen bleiben, ob im Hinblick auf ein Disziplinarverfahren die Konvention überhaupt zur Anwendung gelangt. Immerhin ist darauf hinzuweisen, dass die Rechtsprechung der Konventionsorgane selbst die disziplinarische Entlassung eines Beamten nicht als strafrechtliche Sanktion erachtet und sie daher nicht dem Schutz von Art. 6 Ziff. 1 EMRK unterstellt (Hinweise auf diese Rechtsprechung und Kritik: KLEY-STRULLER, Art. 6 EMRK als Rechtsschutzgarantie gegen die öffentliche Gewalt, Zürich 1993, S. 15f; vergleiche auch: VILLIGER, a.a.O., S. 234 N. 396). Das Bundesgericht hat es zudem in einem nicht veröffentlichten Entscheid vom 15. November 1990 abgelehnt, Art. 6 Ziff. 1 EMRK auf die Eröffnung und die Durchführung eines Disziplinarverfahrens anzuwenden (zitiert in: HÄNNI, Rechte und Pflichten im öffentlichen Dienstrecht, Freiburg 1993, S. 297). Demnach vermag dem Beschwerdeführer auch die Anrufung von Art. 6 Ziff. 1 EMRK nicht zu helfen.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