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IV 67</w:t>
      </w:r>
    </w:p>
    <w:p>
      <w:r>
        <w:t>Bundesgericht (BGE), 1994-01-01, DE</w:t>
      </w:r>
    </w:p>
    <w:p>
      <w:r>
        <w:rPr>
          <w:b/>
        </w:rPr>
        <w:t xml:space="preserve">Quelle: </w:t>
      </w:r>
      <w:r>
        <w:t>https://mcp.opencaselaw.ch/entscheid/bge_BGE_120_IV_67</w:t>
      </w:r>
    </w:p>
    <w:p>
      <w:r>
        <w:t>FR: ATF 120 IV 67</w:t>
      </w:r>
    </w:p>
    <w:p>
      <w:r>
        <w:t>IT: DTF 120 IV 67</w:t>
      </w:r>
    </w:p>
    <w:p>
      <w:pPr>
        <w:pStyle w:val="Heading2"/>
      </w:pPr>
      <w:r>
        <w:t>Regeste</w:t>
      </w:r>
    </w:p>
    <w:p>
      <w:r>
        <w:t>Regeste Art. 90 Ziff. 2 SVG, Art. 63 StGB; grobe Verletzung der Verkehrsregeln, Wahl der Strafart; Strafzumessung. Für die Wahl der Strafart gelten die selben Kriterien wie für die Strafzumessung, wobei Gesichtspunkte der Zweckmässigkeit einer bestimmten Sanktion eine wichtige Rolle spielen und die Entscheidungen sich gegenseitig beeinflussen. Die zivilrechtlichen Folgen der Tat dürfen bei der Strafzumessung mitberücksichtigt werden.</w:t>
      </w:r>
    </w:p>
    <w:p>
      <w:r>
        <w:t>Regeste Art. 90 ch. 2 LCR, Art. 63 CP; violation grave des règles de la circulation, choix de la peine; mesure de la peine. Les critères applicables au choix de la peine sont les mêmes que ceux qui fondent la mesure de celle-ci; l'opportunité d'une sanction déterminée joue un rôle important et les décisions sur ces points exercent l'une sur l'autre une influence réciproque. Les conséquences civiles de l'infraction peuvent aussi être prises en considération lors de la fixation de la peine.</w:t>
      </w:r>
    </w:p>
    <w:p>
      <w:r>
        <w:t>Regesto Art. 90 n. 2 LCS, art. 93 CP; infrazione grave alle norme della circolazione. Scelta e commisurazione della pena. I criteri applicabili alla scelta della pena sono gli stessi che valgono per la commisurazione di quest'ultima; l'opportunità d'irrogare una determinata pena riveste una grande importanza e le decisioni sulla specie della pena e sulla sua commisurazione esercitano l'una sull'altra un'influenza reciproca. Nella commisurazione della pena possono essere considerate anche le conseguenze civili dell'infrazione.</w:t>
      </w:r>
    </w:p>
    <w:p>
      <w:pPr>
        <w:pStyle w:val="Heading2"/>
      </w:pPr>
      <w:r>
        <w:t>Erwägungen</w:t>
      </w:r>
    </w:p>
    <w:p>
      <w:r>
        <w:rPr>
          <w:b/>
        </w:rPr>
        <w:t>E. 1</w:t>
      </w:r>
    </w:p>
    <w:p>
      <w:r>
        <w:t>a) Die Beschwerdeführerin rügt eine Verletzung von Art. 63 StGB , weil die Vorinstanz den Beschwerdegegner nicht zu einer Gefängnisstrafe, allenfalls kombiniert mit einer Busse, verurteilt hat. Sie führt zunächst aus, die Vorinstanz habe nicht begründet, inwieweit sich der Umstand, wonach es sich beim Beschwerdegegner nicht um einen erfahrenen und über mehrjährige Fahrpraxis verfügenden Autolenker handle, strafmindernd auswirke. Eine Überprüfung der Strafzumessungsüberlegungen sei insofern nur bedingt möglich. Die Beschwerdeführerin bringt sodann vor, Art. 90 Ziff. 2 SVG (SR 741.01) sehe als Sanktion Gefängnis oder Busse vor. Die Strafzumessungsgrundsätze von Art. 63 StGB müssten auch bei der Wahl der Strafart zur Anwendung gelangen. Das Gesetz berücksichtige bei der Bestimmung der Sanktion das Gewicht der Straftat. Dies bedeute für den Richter, dass er bei der Entscheidung, ob eine Geld- oder eine Freiheitsstrafe zu verhängen sei, von der Frage ausgehen müsse, ob die Tat noch mit einer blossen Geldstrafe geahndet werden könne. Dabei erlangten die Tatschwere und das Verschulden des Täters entscheidende Bedeutung. Deshalb sei hier eine Freiheitsstrafe, gegebenenfalls verbunden mit einer Busse auszusprechen. Die Vorinstanz habe eine unhaltbar milde Strafe ausgesprochen und dadurch ihr Ermessen verletzt. b) Die Vorinstanz beurteilte die Geschwindigkeitsüberschreitung des Beschwerdegegners zutreffend als grobe Verkehrsregelverletzung im Sinne von Art. 90 Ziff. 2 SVG . Für die Strafzumessung ging sie vom gesetzlichen Strafrahmen aus, der Busse bis Fr. 40'000.-- oder Gefängnis bis zu drei Jahren vorsieht. Der Umstand, dass es sich beim Beschwerdegegner nicht um einen erfahrenen und über mehrjährige Fahrpraxis verfügenden Autolenker handelt, berücksichtigte sie im Rahmen der persönlichen Verhältnisse im Gegensatz zur ersten Instanz, die Art. 64 Abs. 6 StGB anwandte, lediglich strafmindernd. Die Vorinstanz wertete das Verschulden des Beschwerdegegners in Übereinstimmung mit der Einzelrichterin als schwer. Wer im Innerortsverkehr im Bereich von Fussgängerstreifen und Trottoirs die zulässige BGE 120 IV 67 S. 70 Höchstgeschwindigkeit um 30 km/h überschreite, handle grundsätzlich verantwortungslos. Für das Vorleben und die persönlichen Verhältnisse des Beschwerdegegners verwies sie auf die Darstellung im erstinstanzlichen Urteil. Strafmilderungs- oder Strafschärfungsgründe schloss die Vorinstanz aus. Sie berücksichtigte indes mit der Einzelrichterin strafmindernd, dass der Beschwerdegegner nicht vorbestraft und sein automobilistischer Leumund ungetrübt war. Insgesamt rechtfertige sich aufgrund der rücksichtslosen Inkaufnahme und der tatsächlich eingetretenen Gefährdung anderer Verkehrsteilnehmer, aus generalpräventiven Gründen eine Freiheitsstrafe auszufällen. Eine Strafe beruhe jedoch nicht bloss auf generalpräventiven Überlegungen, vielmehr solle sie auch gezielt die mutwillige Fahrweise des betreffenden Verkehrsteilnehmers bestrafen und sein künftiges Verhalten im Strassenverkehr beeinflussen. Diesem Gesichtspunkt trage die von der Einzelrichterin ausgefällte Busse von Fr. 800.-- in Berücksichtigung der wirtschaftlichen und der persönlichen Verhältnisse des Beschwerdegegners am besten Rechnung. Zusammen mit den übrigen finanziellen Konsequenzen des von ihm verursachten Unfalles treffe ihn diese Busse mit Sicherheit hart, und diese Sanktion lasse mit gutem Grund erwarten, der Beschwerdeführer werde inskünftig den Regeln des Strassenverkehrsgesetzes die notwendige Beachtung schenken.</w:t>
      </w:r>
    </w:p>
    <w:p>
      <w:r>
        <w:rPr>
          <w:b/>
        </w:rPr>
        <w:t>E. 2</w:t>
      </w:r>
    </w:p>
    <w:p>
      <w:r>
        <w:t>a) Gemäss Art. 63 StGB misst der Richter die Strafe nach dem Verschulden des Täters zu; er berücksichtigt die Beweggründe, das Vorleben und die persönlichen Verhältnisse des Schuldigen. Dem Sachrichter steht bei der Gewichtung der im Rahmen der Strafzumessung zu beachtenden Komponenten ein erheblicher Spielraum des Ermessens zu. Das Bundesgericht greift in dieses auf Nichtigkeitsbeschwerde hin, mit der ausschliesslich eine Verletzung von Bundesrecht geltend gemacht werden kann ( Art. 269 BStP ; SR 312.0), nur ein, wenn der kantonale Richter den gesetzlichen Strafrahmen über- oder unterschritten hat, wenn er von rechtlich nicht massgebenden Gesichtspunkten ausgegangen ist oder wenn er wesentliche Gesichtspunkte ausser acht gelassen bzw. in Überschreitung oder Missbrauch seines Ermessens falsch gewichtet hat ( BGE 118 IV 14 E. 2; BGE 117 IV 112 E. 1 mit Hinweisen). Der Richter hat in seinem Urteil in der Regel den zur Anwendung gelangenden Strafrahmen zu nennen und die wesentlichen schuldrelevanten Tat- und Täterkomponenten so zu erörtern, dass festgestellt werden kann, ob alle rechtlich massgebenden Gesichtspunkte Berücksichtigung fanden und wie sie gewichtet wurden, d.h. ob und in welchem Grade sie strafmindernd oder BGE 120 IV 67 S. 71 straferhöhend in die Waagschale fielen ( BGE 117 IV 112 E. 1). Diese Rechtsprechung bedeutet nicht, dass der Sachrichter etwa in absoluten Zahlen oder in Prozenten angeben müsse, inwieweit er einem bestimmten Faktor straferhöhend bzw. strafmindernd Rechnung trug. Er muss aber die Überlegungen, die er bei der Bemessung der Strafe angestellt hat, in den Grundzügen darstellen und die Strafzumessung so gut wie möglich nachvollziehbar machen. Dabei müssen die einzelnen Strafzumessungsfaktoren nicht in allen Einzelheiten ausgebreitet werden und über Umstände ohne oder von ausgesprochen untergeordneter Bedeutung darf auch mit Stillschweigen hinweggegangen werden. Je höher die ausgefällte Strafe ist, desto höher sind auch die Anforderungen an ihre Begründung ( BGE 118 IV 14 E. 2 und 337 E. 2a, BGE 117 IV 112 E. 1). b) Art. 90 Ziff. 2 SVG sieht als Strafrahmen Gefängnis oder Busse bis Fr. 40'000.-- ( Art. 48 Ziff. 1 StGB ) vor. Ist im Gesetz wahlweise Freiheitsstrafe oder Busse angedroht, so kann der Richter in jedem Fall beide Strafen miteinander verbinden ( Art. 50 Ziff. 2 StGB ). Er kann überdies statt auf Gefängnis auf Haft erkennen ( Art. 39 Ziff. 1 Abs. 2 StGB ). Das Gesetz bestimmt zwar nicht ausdrücklich, auf welche Art und Weise die Wahl der angemessenen Strafart zu erfolgen hat. Es gelten hiefür aber dieselben Kriterien, die Art. 63 StGB für die Strafzumessung aufstellt, namentlich das Gewicht der Tat und das Verschulden des Täters (vgl. den französischen Gesetzestext: "Le juge fixera la peine ...", was nicht nur die Höhe, sondern auch die Art der Strafe zu umfassen scheint; vgl. auch LOGOZ/SANDOZ, Commentaire du Code Pénal Suisse, Partie Générale, Art. 63 no 8; TRECHSEL, Schweizerisches Strafgesetzbuch, Kurzkommentar, Art. 63 N. 1; für das deutsche Recht vgl. SCHÖNKE/SCHRÖDER/STREE, Strafgesetzbuch, Kommentar, 24. Aufl., N. 60 zu § 48 dStGB). Dabei spielen auch Gesichtspunkte der Zweckmässigkeit einer bestimmten Form der Sanktion eine wichtige Rolle. Die Bestimmung des Strafmasses und die Wahl der Strafart lassen sich im übrigen nicht ohne weiteres trennen, sondern beeinflussen sich gegenseitig (so STRATENWERTH, Schweizerisches Strafrecht, Allg. Teil II, § 7 N. 74/75). Auch für die Wahl der Strafart steht dem Richter somit ein weiter Spielraum des Ermessens zu. Die Vorinstanz würdigte das Verschulden des Beschwerdegegners zu Recht als schwer. Es kann hiefür auf das angefochtene Urteil und die Ausführungen der ersten Instanz verwiesen werden. Dass die Vorinstanz in diesem Zusammenhang das verantwortungs- und rücksichtslose Verhalten des Beschwerdegegners BGE 120 IV 67 S. 72 berücksichtigte, bedeutet entgegen dessen Auffassung keinen Verstoss gegen das Doppelverwertungsverbot, da der Richter dem Ausmass eines qualifizierenden oder privilegierenden Tatumstandes bei der Strafzumessung Rechnung tragen darf ( BGE 118 IV 342 E. 2b). Der Einwand der Beschwerdeführerin, die Vorinstanz habe nicht begründet, inwieweit sich die mangelnde Fahrpraxis des Beschwerdegegners strafmindernd auswirke, geht fehl. Die Vorinstanz wertete im Gegensatz zur ersten Instanz den genannten Umstand nicht strafmildernd, sondern bloss strafmindernd. Da sie indessen die Höhe der Strafe bestätigte, beurteilte sie den Umstand im Ergebnis im selben Umfang. Dies ist nicht zu beanstanden. Nach Abwägung aller Umstände gelangte die Vorinstanz zum Schluss, dass eine Geldstrafe zweckmässig sei. Sie liess sich für diese Wahl der Strafart von spezialpräventiven Gesichtspunkten leiten. Sie nahm an, die Busse werde den Beschwerdeführer zusammen mit den übrigen finanziellen Konsequenzen des von ihm verursachten Verkehrsunfalles mit Sicherheit hart treffen, so dass die Sanktion erwarten lasse, er werde inskünftig den Regeln des Strassenverkehrsgesetzes die notwendige Beachtung schenken. Damit ging die Vorinstanz von richtigen Beurteilungskriterien aus und hielt sich auch im Rahmen ihres Ermessens. Hinzuzufügen ist, dass in derartigen Fällen der Führerausweis in der Regel entzogen werden muss ( Art. 16 Abs. 3 lit. a SVG ), was eine zusätzliche einschneidende Sanktion darstellt. Schliesslich fällt ins Gewicht, dass der Beschwerdeführer, da die Verkehrsregelverletzung zu einem Unfall mit Totalschaden an beiden Fahrzeugen geführt hat, auch zivilrechtliche Folgen zu tragen hat. Der präventive Effekt von zivilrechtlichen Sanktionen (z.B. Regress der Haftpflichtversicherung, höhere Versicherungsprämie aufgrund des Bonus-/Malussystems etc.) darf im Rahmen der Strafzumessung mitberücksichtigt werden (vgl. zu den zivilrechtlichen Folgen PIERRE TERCIER, Droit civil et prévention des accidents de la circulation routière, in JÖRG SCHUH [Hrsg.], Verkehrsdelinquenz, 1989, S. 269 ff.). Die Aussprechung einer Busse ist somit bundesrechtlich nicht zu beanstanden. Dass die Busse zu niedrig angesetzt worden sei, macht die Beschwerdeführerin nicht ausdrücklich geltend. Dies ist auch nicht ersichtlich. Die Vorinstanz hat sämtliche Gesichtspunkte der Strafzumessung berücksichtigt und im Rahmen ihres Ermessens gewürdigt. Das angefochtene Urteil verstösst auch in dieser Hinsicht nicht gegen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