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348</w:t>
      </w:r>
    </w:p>
    <w:p>
      <w:r>
        <w:rPr>
          <w:i/>
        </w:rPr>
        <w:t>Bundesgericht (BGE)</w:t>
      </w:r>
      <w:r>
        <w:rPr>
          <w:i/>
        </w:rPr>
        <w:t xml:space="preserve">  ·  1994-01-01</w:t>
      </w:r>
      <w:r>
        <w:rPr>
          <w:i/>
        </w:rPr>
        <w:t xml:space="preserve">  ·  DE</w:t>
      </w:r>
    </w:p>
    <w:p>
      <w:r>
        <w:rPr>
          <w:b/>
        </w:rPr>
        <w:t xml:space="preserve">Source: </w:t>
      </w:r>
      <w:r>
        <w:t>https://mcp.opencaselaw.ch/entscheid/bge_BGE_120_IV_348</w:t>
      </w:r>
    </w:p>
    <w:p>
      <w:r>
        <w:t>FR: ATF 120 IV 348 · IT: DTF 120 IV 348</w:t>
      </w:r>
    </w:p>
    <w:p>
      <w:pPr>
        <w:pStyle w:val="Heading2"/>
      </w:pPr>
      <w:r>
        <w:t>Regeste</w:t>
      </w:r>
    </w:p>
    <w:p>
      <w:r>
        <w:t>Regeste Art. 125 ff. BStP; Art. 6 Ziff. 3 lit. a EMRK. Anklagezulassung. Im Rahmen des Anklagezulassungsverfahrens prüft die Anklagekammer insbesondere, ob die Anklageschrift den gesetzlichen Vorschriften entspricht; erweist sich die Anklageschrift als mangelhaft, so kann diese - unter einstweiliger Nichtzulassung der Anklage - zur Behebung der Mängel (auch) an den Bundesanwalt zurückgewiesen werden (E. 1). Der Anklageschrift kommt sowohl eine Umgrenzungs- als auch eine Informationsfunktion zu (E. 2). Die Anklageschrift muss mindestens erlauben, in objektiver und subjektiver Hinsicht zu bestimmen, welche konkreten strafbaren Tatbeiträge den einzelnen Angeklagten zur Last gelegt werden; die Beweismittel sind den konkreten Anklagevorwürfen zuzuordnen (E. 3). Inhalt des erläuternden Berichts (E. 4).</w:t>
      </w:r>
    </w:p>
    <w:p>
      <w:r>
        <w:t>Regeste Art. 125 ss PPF; art. 6 par. 3 let. a CEDH. Mise en accusation. Dans le cadre de la mise en accusation, la Chambre d'accusation examine en particulier si l'acte d'accusation satisfait aux exigences de la loi; si l'acte d'accusation se révèle insuffisant, il peut être retourné (également) au Procureur général de la Confédération afin que les lacunes soient comblées, la mise en accusation étant alors provisoirement refusée (consid. 1). L'acte d'accusation a pour fonction à la fois de délimiter l'objet du procès et d'indiquer les charges retenues contre l'inculpé (consid. 2). L'acte d'accusation doit au moins permettre de discerner les actes délictueux concrets - éléments objectifs et subjectifs - imputés aux différents inculpés; les moyens de preuves doivent être classés selon les actes concrets auxquels ils se rapportent (consid. 3). Contenu du rapport explicatif (consid. 4).</w:t>
      </w:r>
    </w:p>
    <w:p>
      <w:r>
        <w:t>Regesto Art. 125 segg. PP; art. 6 n. 3 lett. a CEDU. Emissione dell'atto d'accusa. Nel quadro della messa in stato d'accusa, la Camera d'accusa esamina, in particolare, se l'atto di accusa soddisfa le esigenze legali; se l'atto di accusa si rivela insufficiente, può (anche) essere rinviato al Procuratore generale della Confederazione, affinché le lacune esistenti siano sanate; in tal caso la messa in stato d'accusa è rifiutata provvisoriamente (consid. 1). L'atto di accusa ha la funzione di delimitare l'oggetto del processo e di indicare i reati posti a carico dell'imputato (consid. 2). L'atto di accusa deve almeno permettere di distinguere gli elementi oggettivi e soggettivi dei reati rimproverati al singolo imputato; deve essere indicato a quali capi d'accusa si riferiscono i mezzi di prova (consid. 3). Contenuto del rapporto esplicativo (consid. 4).</w:t>
      </w:r>
    </w:p>
    <w:p>
      <w:pPr>
        <w:pStyle w:val="Heading2"/>
      </w:pPr>
      <w:r>
        <w:t>Erwägungen</w:t>
      </w:r>
    </w:p>
    <w:p>
      <w:r>
        <w:rPr>
          <w:b/>
        </w:rPr>
        <w:t>E. 1</w:t>
      </w:r>
    </w:p>
    <w:p>
      <w:r>
        <w:t>a) Das Anklagezulassungsverfahren soll die Gerichte vor überflüssigen Verfahren, die höchstwahrscheinlich zu einem Freispruch führen, und den Angeklagten vor ungerechtfertigten Anklagen und insbesondere vor einer allenfalls unnötigen Prangerwirkung des öffentlichen Gerichtsverfahrens bewahren (NIKLAUS SCHMID, Strafprozessrecht, Zürich 1993, N. 818; PETER NOLL, Strafprozessrecht, Zürich 1977, S. 90; WERNER LÜTHI, Das Zwischenverfahren im eidgenössischen Strafprozessrecht, ZStrR 1943, S. 139; HANS FELIX PFENNINGER, Die Frage der Anklagezulassung, in: Probleme des BGE 120 IV 348 S. 351 schweizerischen Strafprozessrechts, Zürich 1966, S. 212 ff.); letzterem Argument kommt angesichts der erhöhten Publizität der Verfahren vor Bundesstrafgericht besondere Bedeutung zu. Das Anklagezulassungsverfahren dient darüber hinaus in erheblichem Masse der Prozessökonomie, indem das Gericht von Anklagen verschont bleibt, die wahrscheinlich zu einer Vertagung der Hauptverhandlung zwecks Aufnahme weiterer Beweise (vgl. ROBERT HAUSER, Kurzlehrbuch des schweizerischen Strafprozessrechts, Zürich 1984, s. 229) oder zwecks Berichtigung bzw. Ergänzung der Anklage führen (vgl. NOLL, a.a.O., S. 89; vgl. auch LÜTHI, a.a.O., S. 149). b) Das Verfahren der Anklagezulassung durch die Anklagekammer des Bundesgerichts wird bestimmt durch die Art. 127 bis 134 BStP. Nachdem der Bundesanwalt durch Einreichung der Anklageschrift und des erläuternden Berichts Anklage erhoben hat und allfällige Verteidigungsschriften eingegangen sind, prüft die Anklagekammer, - ob die Ergebnisse der Voruntersuchung die Erhebung der Anklage rechtfertigen und - ob das in der Anklageschrift bezeichnete Gericht zuständig ist ( Art. 128 BStP ). Die Anklagekammer stützt sich dabei auf die Akten des gerichtspolizeilichen Ermittlungsverfahrens und der Voruntersuchung (einschliesslich allfälliger Beweisgegenstände), den Schlussbericht des eidgenössischen Untersuchungsrichters, die Anklageschrift und den erläuternden Bericht sowie die allfällige Verteidigungsschrift des Angeklagten (LÜTHI, a.a.O., S. 146); diese Prüfung nimmt die Anklagekammer ohne eigenes Beweisverfahren vor (PETER BÖSCH, Die Anklagekammer des Bundesgerichts, Zürich 1978, S. 93; vgl. auch Sten.Bull. NR 1931, 729). Sie überprüft die Ergebnisse der Voruntersuchung daraufhin, ob der Bundesanwalt alles berücksichtigt hat, was für seine Anklageerhebung in Betracht kommt und sie rechtfertigt (LÜTHI, a.a.O., S. 147). Entgegen der von NOLL geäusserten Auffassung, wonach das Anklagezulassungsverfahren in der Praxis im allgemeinen zu einer blossen Formalität geworden sei, die routinemässig erledigt werde (a.a.O., S. 90), prüft die Anklagekammer des Bundesgerichts in jedem Fall überaus eingehend, ob die gesetzlichen Voraussetzungen für die Zulassung der Anklage erfüllt sind, d.h. ob die Ergebnisse der Voruntersuchung Anlass zur Annahme geben, dass der dem Beschuldigten zur Last gelegte Sachverhalt in BGE 120 IV 348 S. 352 der Hauptverhandlung erweislich sei (LÜTHI, a.a.O., S. 141); in diesem Zusammenhang hat die Anklagekammer daher auch die "Hinlänglichkeit des Beweises" zu prüfen (BBl 1929 II 617; STÄMPFLI, Das Bundesgesetz über die Bundesstrafrechtspflege vom 15. Juni 1934, Bern 1935, Art. 128 N. 1; LÜTHI, a.a.O., S. 147). Obwohl dies nicht ausdrücklich im Gesetz erwähnt wird, hat die Anklagekammer im Rahmen der ihr obliegenden formellen Prüfung insbesondere darüber zu befinden, ob die Anklageschrift den aufgrund des Akkusationsprinzips an sie zu stellenden Anforderungen (HAUSER, a.a.O., S. 229) bzw. den gesetzlichen Vorschriften entspricht (BÖSCH, a.a.O., S. 94). Die Prüfung der Anklagekammer bleibt aber auf den Gegenstand der Anklage beschränkt (LÜTHI, a.a.O., S. 147), d.h. auf das in der Anklage umschriebene Ereignis, auf den Anklagesachverhalt. c) Je nach dem Ergebnis dieser Prüfung geht die Anklagekammer wie folgt vor: aa) Wenn eine bessere Aufklärung des Sachverhaltes notwendig ist, so weist sie die Akten zur Ergänzung der Voruntersuchung an den Untersuchungsrichter zurück ( Art. 129 Abs. 1 BStP ). Die Anklagekammer kann aber zufolge ihrer beschränkten Prüfungsbefugnis nicht zurückweisen, um weitere, in der Anklage nicht enthaltene Sachverhalte abklären zu lassen (BÖSCH, a.a.O., S. 95). bb) Beurteilt die Anklagekammer den Fall rechtlich anders als die Anklage, macht der Präsident die Parteien darauf aufmerksam und gibt ihnen Gelegenheit zur Vernehmlassung; beschliesst die Anklagekammer in der Folge die Abänderung der Anklage, so hat der Bundesanwalt eine neue Anklageschrift einzureichen ( Art. 130 BStP ). cc) Lässt die Anklagekammer die Anklage nicht zu, so stellt sie das Verfahren ein oder überweist die Sache gegebenenfalls an die zur Einleitung einer Strafverfolgung zuständige kantonale Behörde ( Art. 131 BStP ; vgl. Sten.Bull. NR 1931, 729), d.h. wenn es sich um kantonalrechtliche Straftatbestände handelt (Sten.Bull. SR 1932, 665). Die Anklagekammer lässt die Anklage dann nicht zu, wenn das Verfahren an einem unheilbaren Mangel leidet oder die Anklage derart unhaltbar erscheint, dass vernünftigerweise nur ein Freispruch in Frage kommt. In Zweifelsfällen ist dieser Entscheid aber dem urteilenden Gericht zu überlassen (BÖSCH, a.a.O., S. 96). dd) Obwohl dies gesetzlich nicht ausdrücklich vorgesehen ist, muss der Anklagekammer auch die Kompetenz zukommen, eine fehlerhafte Anklageschrift BGE 120 IV 348 S. 353 an den Bundesanwalt zurückzuweisen (vgl. auch ARMAND MEYER, Die Bindung des Strafrichters an die eingeklagte Tat, Diss. Zürich 1972, S. 165 f. und 175); dies ergibt sich bereits aus dem Grundsatz "in maiore minus". Kann die Anklagekammer die Anklage nicht zulassen, so ist darin auch die weniger weit reichende Kompetenz eingeschlossen, die Anklage einstweilen nicht zuzulassen und die Anklageschrift an den Bundesanwalt zur Behebung der Mängel zurückzuweisen (vgl. zum zürcherischen Recht: SCHMID, a.a.O., N. 821 zu § 167 Ziff. 2 StPO /ZH; vgl. zum deutschen Recht PETER RIESS, in Löwe/Rosenberg, Strafprozessordnung, 24. A. § 200, N. 56). Von dieser Möglichkeit macht die Anklagekammer in sinngemässer Anwendung von Art. 277 BStP Gebrauch, wenn die Anklageschrift selber an Mängeln leidet, aufgrund welcher sie die ihr obliegende Prüfung gar nicht durchführen kann. Der Bundesanwalt hat dann darüber zu entscheiden, ob er allenfalls beim Untersuchungsrichter im Hinblick auf Art. 129 BStP eine Ergänzung der Akten beantragen soll (vgl. MARKUS PETER, Die Bundesanwaltschaft als Staatsanwaltschaft des Bundes, Diss. Bern 1972, S. 62). Selbstverständlich kann es bei einer solchen Rückweisung nicht darum gehen, den Bundesanwalt zu zwingen, eine andere Tat (MEYER, a.a.O., S. 157) bzw. einen Sachverhalt einzuklagen, der zwar untersucht, aber nicht zum Gegenstand der Anklage gemacht worden ist (LÜTHI, a.a.O., S. 147). ee) Lässt die Anklagekammer die Anklage zu, übermittelt sie die Akten dem zuständigen Gericht; der Beschluss wird nicht begründet, um das auszufällende Urteil des Bundesstrafgerichts in materieller Hinsicht nicht zu beeinflussen (Sten.Bull. NR 1931, 729).</w:t>
      </w:r>
    </w:p>
    <w:p>
      <w:r>
        <w:rPr>
          <w:b/>
        </w:rPr>
        <w:t>E. 2</w:t>
      </w:r>
    </w:p>
    <w:p>
      <w:r>
        <w:t>a) Die Angeklagten rügen in der Hauptsache eine Verletzung des Anklagegrundsatzes; diese erblicken sie darin, dass die Anklageschrift den gesetzlichen Anforderungen, insbesondere Art. 126 Ziff. 2 BStP nicht genüge; gleichzeitig liege darin eine Verletzung von Art. 6 Ziff. 3 lit. a EMRK . b) Der Anklagegrundsatz bildet heute ein unverzichtbares Element eines rechtsstaatlichen Strafprozesses (SCHMID, a.a.O., N. 141 f.; NOLL, a.a.O., S. 89; HAUSER, a.a.O., S. 133 f.). Er verteilt nicht nur die Aufgaben zwischen Untersuchungs- und Anklagebehörde einerseits und Gericht andererseits, sondern er bestimmt auch den Gegenstand des Gerichtsverfahrens, weshalb die Anklage die Person des Angeklagten und die ihm zur Last gelegten Delikte in ihrem Sachverhalt so präzis umschreiben muss, dass die Vorwürfe im objektiven und subjektiven Bereich genügend BGE 120 IV 348 S. 354 konkretisiert sind (vgl. MEYER, a.a.O., S. 105; SCHMID, a.a.O., N. 146; JÖRG REHBERG/MARKUS HOHL, Die Revision des Zürcher Strafprozessrechts von 1991, Zürich 1992, S. 7). Das Anklageprinzip bezweckt damit zugleich den Schutz der Verteidigungsrechte des Angeklagten ( BGE 103 Ia 6 E. 1b; vgl. MEYER, a.a.O., S. 70) und den Anspruch auf rechtliches Gehör nach Art. 4 BV und Art. 6 EMRK (unveröffentlichter BGE vom 30. Oktober 1991 i.S. W. gegen Staatsanwaltschaft des Kantons Aargau, E. 2a). c) Konkretisiert wird der Anklagegrundsatz zur Hauptsache durch die Anforderungen, welche an die Anklageschrift gestellt werden (vgl. unveröffentlichter BGE vom 30. Oktober 1991 i.S. W. gegen Staatsanwaltschaft des Kantons Aargau, E. 2b). Diese hat somit eine doppelte Bedeutung. Sie dient einmal der Bestimmung des Prozessgegenstandes (Umgrenzungsfunktion) und sie vermittelt andererseits dem Angeschuldigten die für die Durchführung des Verfahrens und die Verteidigung notwendigen Informationen (Informationsfunktion), wobei die beiden Funktionen von gleichwertiger Bedeutung sind ( BGE 116 Ia 455 E. 3a, cc, unter Bezugnahme auf RIESS, a.a.O., N. 3 f.).</w:t>
      </w:r>
    </w:p>
    <w:p>
      <w:r>
        <w:rPr>
          <w:b/>
        </w:rPr>
        <w:t>E. 3</w:t>
      </w:r>
    </w:p>
    <w:p>
      <w:r>
        <w:t>die Bestimmungen des Strafgesetzes, die anzuwenden sind;</w:t>
      </w:r>
    </w:p>
    <w:p>
      <w:r>
        <w:rPr>
          <w:b/>
        </w:rPr>
        <w:t>E. 4</w:t>
      </w:r>
    </w:p>
    <w:p>
      <w:r>
        <w:t>die Beweismittel für die Hauptverhandlung;</w:t>
      </w:r>
    </w:p>
    <w:p>
      <w:r>
        <w:rPr>
          <w:b/>
        </w:rPr>
        <w:t>E. 5</w:t>
      </w:r>
    </w:p>
    <w:p>
      <w:r>
        <w:t>Die vorliegende Anklageschrift einschliesslich des erläuternden Berichts des Vertreters des Bundesanwalts genügt den vorstehend umschriebenen Anforderungen nicht, die im Bundesstrafprozess an eine solche Prozessschrift zu stellen sind. a) Die Darstellung des Sachverhalts mit stichwortartiger Darstellung von 21 Warenlieferungen, die zu drei irakischen Projekten gehören sollen, erlaubt es nicht, zu bestimmen, welche konkreten Tatbeiträge im Zusammenhang mit diesen einzelnen konkreten Lieferungen den einzelnen Angeklagten vorgeworfen werden. Es fehlen insbesondere auch Ausführungen über die Zuordnung der einzelnen Lieferungen zu den jeweiligen irakischen Projekten und - damit im Zusammenhang stehend - Angaben von konkreten Anhaltspunkten für ihre Qualifikation als Kriegsmaterial. b) Die Darstellung der Tatbeiträge der einzelnen Angeklagten lässt auch sonst nicht erkennen, welche konkreten Handlungen bzw. Unterlassungen jedem Angeklagten vorgeworfen werden. c) In subjektiver Hinsicht wird allen Angeklagten vorgeworfen, dass sie mit Wissen und Willen gehandelt bzw. mindestens billigend in Kauf genommen hätten, den verpönten Erfolg und die verpönte Gefahr (Versuch) zu bewirken, oder massgebend zu unterstützen. Der - ohne Differenzierung hinsichtlich der konkreten jeweiligen Tatbeiträge der einzelnen Angeklagten - beigefügte bloss allgemeine Hinweis auf die administrative und betriebliche Stellung sowie Ausbildung und Erfahrung der Angeklagten und auf Indizien für ein Waffengeschäft ("objektive Beschaffenheit des Materials", "Umstände der BGE 120 IV 348 S. 359 Auftragserteilung", "Umstände im Laufe der Abwicklung des Auftrages"), ohne dass dargelegt wird, aus welchen konkreten Tatsachen sich diese bei welchen Angeklagten ergeben, vermag den Anforderungen, die in subjektiver Hinsicht an die genügende Individualisierung und Konkretisierung der den Angeklagten vorgeworfenen Taten zu stellen sind, offensichtlich nicht zu genügen. Der dazu angebrachte Hinweis im erläuternden Bericht, ausführliche Bemerkungen zu den diesbezüglichen Indizien ergäben sich aus dem Schlussbericht (Seiten 222 bis 245), in einer allfälligen Hauptverhandlung würden sie zu konkretisieren sein, ändert nichts daran. Auch wenn dieser Teil des Schlussberichts als integrierender Bestandteil der Anklageschrift bzw. des erläuternden Berichts betrachtet würde, sind die Anforderungen an die Anklage nicht erfüllt. Dasselbe gilt für die Seiten 248 bis 253 des Schlussberichts. Der Vertreter des Bundesanwalts wird anführen müssen, welches strafbare Verhalten er den einzelnen Beschuldigten konkret zur Last legt. d) Die in der Anklageschrift angeführten Beweismittel lassen im einzelnen nicht erkennen, welchen konkreten Anklagevorwürfen sie zuzuordnen sind. Die gewählte Darstellung mit der undifferenzierten Verweisung auf nahezu alle Akten erlaubt den Angeklagten daher nicht, sich in Kenntnis der ihnen vorgeworfenen Tathandlungen bzw. Unterlassungen auf ihre Verteidigung einzurichten. Zu beanstanden sind in diesem Zusammenhang insbesondere die Verweisungen auf ganze Ordner. Der Hinweis, es sei schwer vorauszusehen, wie viele der angeführten Beweismittel in einem allfälligen Gerichtsverfahren verwendet werden müssten, dies hänge weitgehend von der Haltung der Angeklagten, aber auch vom Grad der geforderten Unmittelbarkeit des Verfahrens und vom Gang der Verhandlung ab, vermag die fehlende Zuordnung und Konkretisierung der Beweismittel nicht zu ersetzen. In der Anklageschrift oder im erläuternden Bericht sind jene Beweismittel anzuführen, aufgrund welcher der Vertreter des Bundesanwalts den Anklagesachverhalt als beweisbar betrachtet. e) Aus diesen Gründen erfüllt die vorliegende Anklageschrift einschliesslich des erläuternden Berichts nicht die Umgrenzungs- und Informationsfunktion, die ihr nach Art. 126 BStP und Art. 6 Ziff. 3 lit. a EMRK zukommt, weshalb die Anklage vorläufig nicht zugelassen werden kann. Da nicht ersichtlich ist, inwiefern eine bessere Aufklärung des Sachverhaltes notwendig wäre, wird die Anklage daher zur Verbesserung im BGE 120 IV 348 S. 360 Sinne der vorstehenden Erwägungen an den Vertreter des Bundesanwalts zurückgewiesen.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