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IV 252</w:t>
      </w:r>
    </w:p>
    <w:p>
      <w:r>
        <w:t>Bundesgericht (BGE), 1994-01-01, DE</w:t>
      </w:r>
    </w:p>
    <w:p>
      <w:r>
        <w:rPr>
          <w:b/>
        </w:rPr>
        <w:t xml:space="preserve">Quelle: </w:t>
      </w:r>
      <w:r>
        <w:t>https://mcp.opencaselaw.ch/entscheid/bge_BGE_120_IV_252</w:t>
      </w:r>
    </w:p>
    <w:p>
      <w:r>
        <w:t>FR: ATF 120 IV 252</w:t>
      </w:r>
    </w:p>
    <w:p>
      <w:r>
        <w:t>IT: DTF 120 IV 252</w:t>
      </w:r>
    </w:p>
    <w:p>
      <w:pPr>
        <w:pStyle w:val="Heading2"/>
      </w:pPr>
      <w:r>
        <w:t>Regeste</w:t>
      </w:r>
    </w:p>
    <w:p>
      <w:r>
        <w:t>Regeste Art. 36 Abs. 2 u. 4, Art. 26 Abs. 1 SVG; Nichtgewähren des Vortritts, Vertrauensgrundsatz. Hängt die Beantwortung der Frage, ob ein Verkehrsteilnehmer eine Verkehrsregel verletzt hat, davon ab, ob und inwieweit er sich auf das verkehrsgerechte Verhalten eines anderen Verkehrsteilnehmers verlassen durfte, darf ihm die Berufung auf den Vertrauensgrundsatz nicht mit der Begründung abgeschnitten werden, er habe sich nicht verkehrskonform verhalten (Präzisierung der Rechtsprechung). Auch der Wartepflichtige kann sich auf das Vertrauensprinzip berufen, wenn sich der Vortrittsberechtigte in einer für den Wartepflichtigen nicht vorhersehbaren Weise verkehrswidrig verhält (Bestätigung der Rechtsprechung).</w:t>
      </w:r>
    </w:p>
    <w:p>
      <w:r>
        <w:t>Regeste Art. 36 al. 2 et 4, art. 26 al. 1 LCR; refus de la priorité, principe dit de la confiance. Lorsque, pour décider si un usager de la route a violé une règle de la circulation, il faut savoir s'il était en droit d'attendre un comportement conforme à la loi d'un autre usager de la route, on ne peut lui refuser de se réclamer du principe dit de la confiance pour le motif qu'il ne s'est pas lui-même comporté conformément aux règles de la circulation (précision de la jurisprudence). Même le débiteur de la priorité peut se réclamer du principe dit de la confiance, lorsque le bénéficiaire de la priorité viole les règles de la circulation d'une manière non prévisible pour lui (confirmation de la jurisprudence).</w:t>
      </w:r>
    </w:p>
    <w:p>
      <w:r>
        <w:t>Regesto Art. 36 cpv. 2 e 4, art. 26 cpv. 1 LCS; violazione del diritto di precedenza, principio dell'affidamento. Ove, per decidere se un utente della strada abbia violato una norma della circolazione, occorra stabilire se egli avesse potuto aspettarsi un comportamento conforme alla legge di un altro utente della strada, non può essergli negato il diritto d'invocare il principio dell'affidamento per il motivo che egli stesso non si è comportato conformemente alle norme della circolazione (precisazione della giurisprudenza). Anche chi è tenuto a dare la precedenza può invocare il principio dell'affidamento quando chi gode del diritto di precedenza violi le norme della circolazione in modo imprevedibile per il debitore della precedenza (conferma della giurisprudenza).</w:t>
      </w:r>
    </w:p>
    <w:p>
      <w:pPr>
        <w:pStyle w:val="Heading2"/>
      </w:pPr>
      <w:r>
        <w:t>Erwägungen</w:t>
      </w:r>
    </w:p>
    <w:p>
      <w:r>
        <w:rPr>
          <w:b/>
        </w:rPr>
        <w:t>E. 2</w:t>
      </w:r>
    </w:p>
    <w:p>
      <w:r>
        <w:t>d) aa) Der Beschwerdeführer beruft sich sodann auf den Vertrauensgrundsatz. Nach diesem aus der Grundregel von Art. 26 Abs. 1 SVG abgeleiteten Grundsatz darf jeder Strassenbenützer, sofern nicht besondere BGE 120 IV 252 S. 254 Umstände dagegen sprechen, darauf vertrauen, dass sich die anderen Verkehrsteilnehmer ebenfalls ordnungsgemäss verhalten, ihn also nicht behindern oder gefährden ( BGE 118 IV 277 E. 4a mit weiteren Hinweisen). Auf den Vertrauensgrundsatz kann sich nur stützen, wer sich selbst verkehrsregelkonform verhalten hat. Wer gegen die Verkehrsregeln verstösst und dadurch eine unklare oder gefährliche Verkehrslage schafft, kann nicht erwarten, dass andere diese Gefahr durch erhöhte Vorsicht ausgleichen ( BGE 118 IV 277 E. 4a mit weiteren Hinweisen; SCHAFFHAUSER, a.a.O., S. 117 N. 312; VON WERRA, Du principe de la confiance dans le droit de la circulation routière ..., RVJ 1970, S. 200). Jedoch gilt diese Einschränkung dort nicht, wo gerade die Frage, ob der Verkehrsteilnehmer eine Verkehrsvorschrift verletzt hat, davon abhängt, ob er sich auf den Vertrauensgrundsatz berufen kann oder nicht. Denn es wäre zirkelschlüssig, in einem solchen Fall den Vertrauensgrundsatz nicht anzuwenden mit der Begründung, der Täter habe eine Verkehrsregel verletzt. Dies hängt ja gerade davon ab, ob und inwieweit er sich auf das verkehrsgerechte Verhalten der anderen Verkehrsteilnehmer verlassen darf (vgl. auch unten E. bb). Das Vertrauensprinzip kann auch der Wartepflichtige anrufen. Erlaubt die Verkehrslage dem Wartepflichtigen das Einbiegen ohne Behinderung eines Vortrittsberechtigten, so ist ihm auch dann keine Vortrittsverletzung vorzuwerfen, wenn dadurch ein Vortrittsberechtigter in seiner Weiterfahrt behindert wird, weil dieser sich in einer für den Wartepflichtigen nicht vorhersehbaren Weise verkehrswidrig verhält. Im Interesse einer klaren Vortrittsregelung wird jedoch nicht leichthin anzunehmen sein, der Wartepflichtige habe nicht mit der Vorbeifahrt eines Vortrittsberechtigten bzw. mit dessen Behinderung rechnen müssen. Nach der Rechtsprechung darf nach dem Vertrauensprinzip der vortrittsbelastete Fahrzeuglenker, der in die Hauptstrasse einbiegen will, auf Hauptstrassen ausserorts davon ausgehen, dass keine Motorfahrzeuge mit einer 80 km/h erheblich überschreitenden Geschwindigkeit herannahen ( BGE 118 IV 277 E. 5b mit Hinweisen). bb) Die Vorinstanz nahm an, der Beschwerdeführer dürfe sich nicht auf den Vertrauensgrundsatz berufen, weil er sich selbst nicht verkehrsregelkonform verhalten habe. Wenn sie die Verkehrsregelverletzung indes u.a. damit begründet, den Beschwerdeführer könnte auch ein allfälliges Überschreiten der Höchstgeschwindigkeit des vortrittsberechtigten Fahrzeuglenkers X. BGE 120 IV 252 S. 255 nicht entlasten, erliegt sie wie dargelegt (E. aa) einem Zirkelschluss. Denn ob der Beschwerdeführer den Vortritt missachtete, lässt sich erst sagen, wenn feststeht, ob er sich auf den Vertrauensgrundsatz berufen kann, d.h. ob er darauf vertrauen durfte oder nicht, der Vortrittsberechtigte überschreite die zulässige Geschwindigkeit nicht. Etwas anderes ergibt sich auch nicht aus dem Satz, das Strafrecht kenne keine Schuldkompensation. Wo die strafrechtliche Verantwortlichkeit eines Verkehrsteilnehmers, wie beim Vertrauensgrundsatz, davon abhängt, ob sich ein anderer in einer Weise verkehrsregelwidrig verhalten hat, mit der nicht gerechnet werden musste, kann auch nicht mit der Begründung, eine Schuldkompensation sei ausgeschlossen, von der Prüfung der Frage abgesehen werden, ob sich der Andere verkehrsregelwidrig verhielt oder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