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IV 242</w:t>
      </w:r>
    </w:p>
    <w:p>
      <w:r>
        <w:t>Bundesgericht (BGE), 1994-01-01, DE</w:t>
      </w:r>
    </w:p>
    <w:p>
      <w:r>
        <w:rPr>
          <w:b/>
        </w:rPr>
        <w:t xml:space="preserve">Quelle: </w:t>
      </w:r>
      <w:r>
        <w:t>https://mcp.opencaselaw.ch/entscheid/bge_BGE_120_IV_242</w:t>
      </w:r>
    </w:p>
    <w:p>
      <w:r>
        <w:t>FR: ATF 120 IV 242</w:t>
      </w:r>
    </w:p>
    <w:p>
      <w:r>
        <w:t>IT: DTF 120 IV 242</w:t>
      </w:r>
    </w:p>
    <w:p>
      <w:pPr>
        <w:pStyle w:val="Heading2"/>
      </w:pPr>
      <w:r>
        <w:t>Regeste</w:t>
      </w:r>
    </w:p>
    <w:p>
      <w:r>
        <w:t>Regeste Art. 36 VStrR. Akteneinsicht im Verwaltungsstrafverfahren. In Fällen mit sehr umfangreichen Akten kann die Gewährung der Akteneinsicht während der Strafuntersuchung auch gegenüber einem (praktizierenden) Anwalt mit der Auflage verbunden werden, diese bei der beteiligten Verwaltung einzusehen und dort Kopien zu erstellen.</w:t>
      </w:r>
    </w:p>
    <w:p>
      <w:r>
        <w:t>Regeste Art. 36 DPA. Consultation des pièces en procédure pénale administrative. S'agissant d'un dossier particulièrement volumineux, le droit de consulter les pièces pendant l'enquête peut, même pour un avocat (pratiquant), être soumis à la condition que celui-ci procède à cette opération auprès de l'administration concernée et y effectue le cas échéant des copies.</w:t>
      </w:r>
    </w:p>
    <w:p>
      <w:r>
        <w:t>Regesto Art. 36 DPA. Consultazione degli atti nella procedura penale amministrativa. Ove si tratti di un incarto particolarmente voluminoso, il diritto di esaminare gli atti durante l'inchiesta può, anche nei confronti di un avvocato che eserciti la propria professione, essere subordinato alla condizione che egli effettui tale operazione presso l'amministrazione interessata e vi allestisca fotocopie.</w:t>
      </w:r>
    </w:p>
    <w:p>
      <w:pPr>
        <w:pStyle w:val="Heading2"/>
      </w:pPr>
      <w:r>
        <w:t>Erwägungen</w:t>
      </w:r>
    </w:p>
    <w:p>
      <w:r>
        <w:rPr>
          <w:b/>
        </w:rPr>
        <w:t>E. 2</w:t>
      </w:r>
    </w:p>
    <w:p>
      <w:r>
        <w:t>a) Mit der Beschwerde an die Anklagekammer des Bundesgerichts kann nur die Verletzung von Bundesrecht, einschliesslich Überschreitung oder Missbrauch des Ermessens gerügt werden ( Art. 27 Abs. 3 VStrR ; SR 313.0). Da die Beschwerde nicht durch die Instanz behandelt wird, an die sie ursprünglich gerichtet war, ist zu prüfen, ob deswegen ein zweiter BGE 120 IV 242 S. 244 Schriftenwechsel durchzuführen ist. Die Beschwerdegründe gemäss Art. 49 VwVG (SR 172.021) - von denen der Beschwerdeführer aufgrund der unzutreffenden Rechtsmittelbelehrung ausgehen durfte - sind zwar umfassender als jene gemäss Art. 27 Abs. 3 VStrR . Der Beschwerdeführer beschränkte sich aber darauf, eine Verletzung von Art. 6 Ziff. 3 lit. b und c EMRK sowie Art. 4 BV (Willkürverbot) - somit die Verletzung von Bundesrecht - zu rügen. Es kann deshalb darauf verzichtet werden, einen zweiten Schriftenwechsel durchzuführen, da infolge dieser Beschränkung in bezug auf die Beschwerdegründe zwischen den beiden Rechtsmitteln kein Unterschied besteht (und die Beschwerdegegnerin bereits eine Vernehmlassung zur Beschwerde eingereicht hat). b) Dem Beschwerdeführer wurde die vollständige Akteneinsicht gewährt: Weder im Schreiben vom 8. September 1993 noch in der Verfügung vom 6. Dezember 1993 werden irgendwelche inhaltliche Einschränkungen des Akteneinsichtsrechts erwähnt. Die Verwaltung machte einzig die Auflage, dass die Akten am Sitz der Behörde, d.h. bei der Zollkreisdirektion Basel oder beim Zollamt Luzern, einzusehen seien. Beizufügen ist, dass dem Beschwerdeführer auch angeboten wird, die benötigten Kopien kostenlos anfertigen zu lassen. c) Der Beschwerdeführer beruft sich für die von ihm verlangte Zustellung der Akten in die Kanzlei seines Anwalts auf Art. 6 Ziff. 3 lit. b und c EMRK , da er wegen der Auflage nicht genügend Zeit habe, die Verteidigung vorzubereiten. Zudem bestehe kein sachlicher Grund, die Akten dem Anwalt nicht herauszugeben; darin liege eine Verletzung des Willkürverbotes ( Art. 4 BV ). aa) Die von der Zollverwaltung gewählte Form der Akteneinsicht entspricht der gesetzlichen Regelung von Art. 26 VwVG , auf welche Bestimmung Art. 36 VStrR verweist. In Art. 26 ff. VwVG haben die allgemeinen, aus Art. 4 BV abgeleiteten Grundsätze zum Akteneinsichtsrecht Ausdruck gefunden; Rechtsprechung und Doktrin zum minimalen verfassungsrechtlichen Akteneinsichtsrecht nach Art. 4 BV einerseits und nach den Art. 26 bis 28 VwVG andererseits beeinflussen sich somit gegenseitig ( BGE 115 V 297 E. 2d mit Hinweisen). bb) Ob sich aus dem Akteneinsichtsrecht als Minimalgarantie nach Art. 4 BV (vgl. dazu BGE 116 Ia 325 E. 3d, aa mit Hinweis; KARL SPÜHLER, Die Praxis der staatsrechtlichen Beschwerde, Bern 1994, N. 449; SCHMID, Strafprozessrecht, N. 267; J.P. MÜLLER, Die Grundrechte der schweizerischen Bundesverfassung, Bern 1991, BGE 120 IV 242 S. 245 S. 282; HAEFLIGER, Alle Schweizer sind vor dem Gesetze gleich, Bern 1985, S. 146) ein verfassungsrechtlicher Anspruch des (praktizierenden) Anwalts auf Herausgabe der Akten ergibt (ablehnend THOMAS COTTIER, Der Anspruch auf rechtliches Gehör, recht 1984, S. 125), kann im vorliegenden Fall offenbleiben; dasselbe gilt in bezug auf Art. 6 Ziff. 3 lit. b (und c) EMRK. Denn die Strafuntersuchung gegen den Beschuldigten ist noch nicht abgeschlossen, und weder aus Art. 6 EMRK (VOGLER, IntKommEMRK, Art. 6 N. 491; HAEFLIGER, Die Europäische Menschenrechtskonvention und die Schweiz, Bern 1993, S. 176 und 178) noch aus Art. 4 BV ergibt sich ein Anspruch des Beschuldigten auf vollumfängliche Gewährung des rechtlichen Gehörs vor Abschluss der Untersuchung (vgl. BGE 119 Ib 12 E. 6). Kann somit unter dem Gesichtspunkt von Art. 4 BV und Art. 6 EMRK das Recht auf Akteneinsicht vor Abschluss der Untersuchung sogar ausgeschlossen oder inhaltlich eingeschränkt werden, so verletzt es diese beiden Bestimmungen erst recht nicht, während der Verwaltungsstrafuntersuchung die Gewährung der vollumfänglichen Akteneinsicht bei sehr umfangreichen Akten mit der Auflage zu versehen, diese bei der Behörde einzusehen und dort Kopien zu erstellen. cc) Bei den sehr umfangreichen Akten (vier Bundesordner und 40 Speditionsdossiers), wie sie hier unbestrittenermassen vorliegen, durften die zuständigen Zollbehörden in Anwendung von Art. 26 VwVG eine Zusendung an den Rechtsanwalt des Beschwerdeführers somit ablehnen, ohne das ihnen zustehende Ermessen zu überschreiten, weil die Untersuchung noch nicht abgeschlossen ist. Denn der Beschwerdeführer wird mit Eröffnung des Schlussprotokolls Gelegenheit erhalten, die Akten vollständig einzusehen und allenfalls eine Ergänzung der Untersuchung zu beantragen ( Art. 61 Abs. 2 VStrR ). Bei ausserordentlich umfangreichen Akten kann der Verwaltung - auch wenn sie, wie hier die Zollkreisdirektion, in ihrer Praxis Anwälten Akten in der Regel zusendet - nicht zugemutet werden, diese einem Anwalt mehr als einmal zur Einsichtnahme zuzustellen. Ein weitergehender Anspruch ergibt sich, wie oben dargelegt, auch nicht aus Art. 4 BV und Art. 6 Ziff. 3 lit. b EMRK . dd) Die Beschwerde erweist sich daher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