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190</w:t>
      </w:r>
    </w:p>
    <w:p>
      <w:r>
        <w:t>Bundesgericht (BGE), 1994-01-01, FR</w:t>
      </w:r>
    </w:p>
    <w:p>
      <w:r>
        <w:rPr>
          <w:b/>
        </w:rPr>
        <w:t xml:space="preserve">Quelle: </w:t>
      </w:r>
      <w:r>
        <w:t>https://mcp.opencaselaw.ch/entscheid/bge_BGE_120_IV_190</w:t>
      </w:r>
    </w:p>
    <w:p>
      <w:r>
        <w:t>FR: ATF 120 IV 190</w:t>
      </w:r>
    </w:p>
    <w:p>
      <w:r>
        <w:t>IT: DTF 120 IV 190</w:t>
      </w:r>
    </w:p>
    <w:p>
      <w:pPr>
        <w:pStyle w:val="Heading2"/>
      </w:pPr>
      <w:r>
        <w:t>Regeste</w:t>
      </w:r>
    </w:p>
    <w:p>
      <w:r>
        <w:t>Regeste Art. 159 Abs. 1 StGB; ungetreue Geschäftsführung. Die Merkmale dieses Tatbestandes.</w:t>
      </w:r>
    </w:p>
    <w:p>
      <w:r>
        <w:t>Regeste Art. 159 al. 1 CP; gestion déloyale. Eléments constitutifs de l'infraction.</w:t>
      </w:r>
    </w:p>
    <w:p>
      <w:r>
        <w:t>Regesto Art. 159 cpv. 1 CP; amministrazione infedele. Elementi costitutivi del reato.</w:t>
      </w:r>
    </w:p>
    <w:p>
      <w:pPr>
        <w:pStyle w:val="Heading2"/>
      </w:pPr>
      <w:r>
        <w:t>Erwägungen</w:t>
      </w:r>
    </w:p>
    <w:p>
      <w:r>
        <w:rPr>
          <w:b/>
        </w:rPr>
        <w:t>E. 2</w:t>
      </w:r>
    </w:p>
    <w:p>
      <w:r>
        <w:t>a) La cour cantonale a estimé, sur la base des faits qu'elle a retenus - qui lient la cour de céans -, que le recourant s'était rendu coupable de complicité ( art. 25 CP ) de gestion déloyale ( art. 159 al. 1 CP ), ce que celui-ci conteste. La complicité étant une forme de participation accessoire à une infraction ( ATF 118 IV 309 consid. 1a), il faut tout d'abord se demander si le coaccusé a lui-même commis l'infraction de gestion déloyale à laquelle le recourant aurait participé à titre accessoire. b) Sous le titre "Gestion déloyale", l' art. 159 al. 1 CP prévoit que "Celui qui, tenu par une obligation légale ou contractuelle de veiller sur les intérêts pécuniaires d'autrui, y aura porté atteinte sera puni de l'emprisonnement". Cette infraction suppose quatre conditions: il faut que l'auteur ait eu une position de gérant, qu'il ait violé une obligation lui incombant en cette qualité, qu'il en soit résulté un préjudice et qu'il ait agi intentionnellement. En ce qui concerne la position de gérant, d'après la jurisprudence, seul peut avoir une position de gérant celui qui dispose d'une indépendance suffisante et qui jouit d'un pouvoir de disposition autonome sur les biens qui lui sont remis ( ATF 118 IV 244 consid. 2a; sur cette notion: STRATENWERTH, Bes. Teil I, 4e éd. Berne 1993, p. 360 ss no 5 ss; REHBERG, Strafrecht III 5e éd., p. 160; NOLL, Bes. Teil I p. 222; SCHUBARTH, Kommentar Strafrecht, art. 159 no 3 ss p. 208; TRECHSEL, Kurzkommentar StGB, art. 159 no 2 ss).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118 IV 244 consid. 2a, ATF 105 IV 307 consid. 2a, ATF 102 IV 90 consid. 1b et les références citées). Un gérant de fortune est typiquement, selon la formule de l' art. 159 al. 1 CP , une personne tenue par une obligation contractuelle de veiller sur les intérêts pécuniaires d'autrui (STRATENWERTH, op.cit., p. 362 no 10; REHBERG, op.cit., p. 160). En l'espèce, il est établi que le coaccusé exerçait l'activité de gérant de fortune, qu'il recevait des fonds d'autrui et disposait d'un large pouvoir BGE 120 IV 190 S. 193 de décision dans leur gestion. Il n'est donc pas douteux que le coaccusé avait la qualité de gérant.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118 IV 244 consid. 2b, ATF 105 IV 307 consid. 3a, ATF 102 IV 90 consid. 1b, ATF 81 IV 276 consid. 2a, p. 279, ATF 80 IV 243 consid. 1; voir également: STRATENWERTH, op.cit., p. 362 ss no 11 ss; REHBERG, op.cit., p. 161; NOLL, op.cit., p. 233; SCHUBARTH, op.cit., art. 159 no 21 ss p. 209 s.; TRECHSEL, op.cit., art. 159 no 8). En l'espèce, il a été établi en fait que les clients n'acceptaient des placements spéculatifs que dans une mesure limitée et que le coaccusé, qui était expérimenté en la matière, s'est lancé délibérément et massivement dans des opérations à haut risque, violant ainsi son devoir de prudence dans la gestion des fonds, tel qu'il découlait des contrats conclus. L'infraction n'est consommée que s'il y a eu préjudice (sur cette notion: STRATENWERTH, op.cit., p. 364 s. no 15 ss; REHBERG, op.cit., p. 161; NOLL, op.cit., p. 233; SCHUBARTH op.cit., art. 159 no 33 ss p. 210 ss; TRECHSEL, op.cit., art. 159 no 9). En l'espèce, il a été constaté en fait que les fonds ont été entièrement perdus et que les opérations se sont soldées par un déficit important. Cette troisième condition est donc également réalisée. Il faut enfin que l'auteur ait agi intentionnellement, mais le dol éventuel suffit ( ATF 105 IV 189 consid. 1b, ATF 86 IV 12 consid. 5 et 6; STRATENWERTH, op.cit., p. 365 no 18; REHBERG, op.cit., p. 162; NOLL, op.cit., p. 224; TRECHSEL, op.cit., art. 159 no 10). Il y a dol éventuel lorsque l'auteur envisage le résultat dommageable, mais agit néanmoins, même s'il ne le souhaite pas, parce qu'il s'en accommode pour le cas où il se produirait ( ATF 119 IV 1 consid. 4b et les arrêts cités). En matière de gestion déloyale cependant, il faut exiger que le dol éventuel soit nettement et strictement caractérisé vu l'imprécision des éléments constitutifs objectifs de cette infraction ( ATF 86 IV 12 consid. 6; SCHUBARTH, op.cit., art. 159 n. 41; PH. GRAVEN, Gestion déloyale, FJS 1035 p. 8 ch. 1). Il est constant en l'espèce que le coaccusé savait qu'il avait une position de gérant de fortune, qu'il savait également que les clients n'acceptaient des opérations spéculatives que dans une mesure limitée et qu'il a choisi délibérément de violer leurs instructions et de se lancer dans des BGE 120 IV 190 S. 194 opérations hasardeuses dont il connaissait les risques. Ces circonstances montrent qu'il s'accommodait de l'éventualité que les risques se réalisent. Ainsi, s'agissant de l'auteur principal, tous les éléments constitutifs de la gestion déloyale sont réalisés, ce que le recourant ne conteste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