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186</w:t>
      </w:r>
    </w:p>
    <w:p>
      <w:r>
        <w:t>Bundesgericht (BGE), 1994-01-01, DE</w:t>
      </w:r>
    </w:p>
    <w:p>
      <w:r>
        <w:rPr>
          <w:b/>
        </w:rPr>
        <w:t xml:space="preserve">Quelle: </w:t>
      </w:r>
      <w:r>
        <w:t>https://mcp.opencaselaw.ch/entscheid/bge_BGE_120_IV_186</w:t>
      </w:r>
    </w:p>
    <w:p>
      <w:r>
        <w:t>FR: ATF 120 IV 186</w:t>
      </w:r>
    </w:p>
    <w:p>
      <w:r>
        <w:t>IT: DTF 120 IV 186</w:t>
      </w:r>
    </w:p>
    <w:p>
      <w:pPr>
        <w:pStyle w:val="Heading2"/>
      </w:pPr>
      <w:r>
        <w:t>Regeste</w:t>
      </w:r>
    </w:p>
    <w:p>
      <w:r>
        <w:t>Regeste Art. 148 Abs. 1 StGB; Arglist, Opfermitverantwortung. Bei der Prüfung der Frage, ob Arglist gegeben sei, ist die Lage des Opfers im Einzelfall zu berücksichtigen. Ist das Opfer geistesschwach, unerfahren oder aufgrund des Alters oder einer (körperlichen oder geistigen) Krankheit beeinträchtigt, befindet es sich in einem Abhängigkeits- oder Unterordnungsverhältnis oder in einer Notlage, und nützt der Täter dies aus, ist Arglist zu bejahen. Der Gesichtspunkt der Opfermitverantwortung kann nur dort zur Verneinung der Arglist führen, wo eine derartige Unterlegenheit des Opfers nicht besteht.</w:t>
      </w:r>
    </w:p>
    <w:p>
      <w:r>
        <w:t>Regeste Art. 148 al. 1 CP; astuce, faute concurrente de la victime. Pour déterminer s'il y a astuce, la situation de la victime doit être examinée concrètement. Si la victime est faible d'esprit, inexpérimentée, diminuée en raison de l'âge ou d'une maladie (physique ou mentale) ou si elle se trouve dans un état de dépendance, de subordination ou de détresse, et si l'auteur en profite, l'astuce doit être admise. L'existence d'une faute concurrente ne peut conduire à nier l'astuce que lorsque la victime ne se trouve pas dans un tel état d'infériorité.</w:t>
      </w:r>
    </w:p>
    <w:p>
      <w:r>
        <w:t>Regesto Art. 148 cpv. 1 CP; astuzia, colpa concomitante della vittima. Per determinare se vi sia astuzia, la situazione della vittima va esaminata concretamente. Se la vittima è debole di mente, inesperta o disabile a causa dell'età o di una malattia (fisica o psichica) o se si trova in uno stato di dipendenza, di subordinazione o di bisogno, e se l'agente ne profitta, l'astuzia dev'essere ammessa. L'esistenza di una colpa concomitante può escludere l'astuzia solo laddove la vittima non si trovi in tale stato d'inferiorità.</w:t>
      </w:r>
    </w:p>
    <w:p>
      <w:pPr>
        <w:pStyle w:val="Heading2"/>
      </w:pPr>
      <w:r>
        <w:t>Erwägungen</w:t>
      </w:r>
    </w:p>
    <w:p>
      <w:r>
        <w:rPr>
          <w:b/>
        </w:rPr>
        <w:t>E. 1</w:t>
      </w:r>
    </w:p>
    <w:p>
      <w:r>
        <w:t>Der Beschwerdeführer bringt gegen seine Verurteilung wegen gewerbsmässigen Betruges einzig vor, er habe nicht arglistig gehandelt; die Vorinstanz habe den Gesichtspunkt der Opfermitverantwortung, der nach der neueren Rechtsprechung zur Verneinung der Arglist führen könne, nicht berücksichtigt. a) Für die Erfüllung des Tatbestandes des Betrugs gemäss Art. 148 Abs. 1 StGB genügt nicht jede, sondern nur die arglistige Täuschung. Wer sich mit einem Mindestmass an Aufmerksamkeit selbst hätte schützen, den Irrtum durch ein Minimum zumutbarer Vorsicht hätte vermeiden können, ist strafrechtlich nicht geschützt. BGE 120 IV 186 S. 188 Arglist ist nach der bundesgerichtlichen Rechtsprechung gegeben, wenn der Täter zur Täuschung eines anderen ein ganzes Lügengebäude errichtet oder sich besonderer Machenschaften oder Kniffe (manoeuvres frauduleuses, mise en scène) bedient, aber auch dann, wenn er bloss falsche Angaben macht, deren Überprüfung nicht oder nur mit besonderer Mühe möglich oder nicht zumutbar ist, sowie dann, wenn er den Getäuschten von der möglichen Überprüfung abhält oder nach dem Umständen voraussieht, dass jener die Überprüfung der Angaben aufgrund eines besonderen Vertrauensverhältnisses unterlassen werde ( BGE 119 IV 28 E. 3a mit Hinweisen). Bei der Beantwortung der Frage, ob Arglist gegeben sei, ist auch der Gesichtspunkt der Opfermitverantwortung zu berücksichtigen. So hat das Bundesgericht in BGE 119 IV 28 die Arglist unter anderem mit der Begründung verneint, das Opfer - eine Bank - hätte bei Beachtung der grundlegendsten Sorgfaltsmassnahmen die Täuschung entdecken können (E. 3f). In BGE 119 IV 210 bejahte das Bundesgericht demgegenüber die Arglist in einem Fall, wo das Opfer geistig beeinträchtigt war und die Täuschung für einen verständigen Dritten offensichtlich gewesen wäre (E. 3d). Diese Entscheide widersprechen sich nicht. Bei der Prüfung der Frage der Arglist ist nicht aufgrund einer rein objektiven Betrachtungsweise darauf abzustellen, wie ein durchschnittlich vorsichtiger und erfahrener Dritter auf die Täuschung reagiert hätte. Zu berücksichtigen ist auch die Lage des Opfers im Einzelfall, soweit der Täter diese kennt und ausnützt. Das gilt insbesondere bei geistesschwachen, unerfahrenen oder aufgrund des Alters oder einer (körperlichen oder geistigen) Krankheit beeinträchtigten Opfern, ferner bei solchen, die sich in einem Abhängigkeits- oder Unterordnungsverhältnis oder in einer Notlage befinden und deshalb kaum imstande sind, dem Täter zu misstrauen. Das Ausnützen einer derartigen Lage ist gerade eine der Erscheinungsformen der Arglist. b) Nach den Darlegungen im angefochtenen Urteil untermauerte der Beschwerdeführer in neun Fällen seine falschen Angaben bezüglich Vermittlung von Aufenthalts- und Arbeitsbewilligungen durch Vorlage eines gefälschten Ausweises mit dem Stempelaufdruck "Fremdenpolizei" und dem Hinweis "Generalvertreter für Jugoslawien" und/oder eines gefälschten Schreibens mit dem Stempelaufdruck "Polizei". Mit Hilfe dieser fingierten Dokumente habe er sich gegenüber seinen wenig rechtskundigen Landsleuten den Anschein einer mit staatlicher Genehmigung BGE 120 IV 186 S. 189 zur Vermittlung von Aufenthalts- und Arbeitsbewilligungen befugten Privatperson verliehen. Die Vorinstanz nimmt an, mit dieser kombinierten Vorgehensweise von Lüge und besonderer Machenschaft habe er bei seinen unerfahrenen Landsleuten ein hohes Mass an Glaubwürdigkeit bewirkt. Seine Landsleute seien jedenfalls von seinen angeblich guten Beziehungen zu den Amtsstellen in Luzern und Bern überzeugt gewesen. In einem weiteren Fall habe er dem Opfer für dessen Schwester die Vermittlung einer Arbeitsstelle mitsamt einer fremdenpolizeilichen Aufenthaltsbewilligung offeriert. Dabei habe er angegeben, schon wiederholt ausländischen Arbeitnehmern Stellen mit Arbeitsbewilligungen vermittelt zu haben, was er an einem Beispiel ausgeführt habe. Schliesslich habe er sich beim Darlehensbetrug insofern arglistig verhalten, als er sich unter anderem mittels einer gefälschten Visitenkarte einem Landsmann als erfolgreicher Geschäftsmann im Aussendienst vorgestellt habe; ausserdem habe er sich als Mitarbeiter der Fremdenpolizei ausgegeben. Gesamthaft kommt die Vorinstanz zum Schluss, das Tatbestandsmerkmal der Arglist sei erfüllt aufgrund der Intensität der breit abgestützten und raffiniert inszenierten Lügengeschichten. Die Arglist könne auch nicht unter dem Gesichtspunkt der Opfermitverantwortung in Frage gestellt werden. Die Opfer seien durchwegs Bürger aus Ex-Jugoslawien, bei denen infolge der Greueltaten im jugoslawischen Bürgerkrieg ein grosses Sicherheitsbedürfnis bestanden habe. Aufgrund ihres starken verwandtschaftlichen Zusammenhalts seien sie daran interessiert gewesen, auch anderen Familienangehörigen das Verlassen ihrer Heimat zu ermöglichen und ihnen mittels Aufenthaltsbewilligungen in der Schweiz Sicherheit zu verschaffen. Diese Opfersituation habe der Beschwerdeführer hemmungslos ausgenützt. Aufgrund der vorgelegten gefälschten Dokumente hätten sich für die Opfer keine Nachforschungen bei der Fremdenpolizei aufgedrängt. Auch beim Darlehensbetrug habe das Opfer keinen Anlass zur Überprüfung der gemachten Angaben gehabt, da der Beschwerdeführer deren Richtigkeit durch das Vorzeigen der gedruckten Visitenkarte seiner angeblich ihm gehörenden Firma bestätigt habe. c) Die Vorinstanz hat damit die Arglist zutreffend bejaht. Wer, wie der Beschwerdeführer, die Unterlegenheit seiner Opfer derart ausnützt, handelt arglistig. Der Fall unterscheidet sich deutlich von BGE 119 IV 28 , wo sich BGE 120 IV 186 S. 190 das Opfer - eine Bank, die sich in der Vergabe von Darlehen auskennt - nicht in einer unterlegenen Stellung befand. Der Gesichtspunkt der Opfermitverantwortung darf insbesondere nicht zur Verneinung der Arglist mit dem Argument führen, das Opfer hätte sich theoretisch durch geeignete Rückfragen Klarheit verschaffen können. Arglist ist auch dann zu bejahen, wenn diese theoretische Möglichkeit besteht, die Opfer jedoch nicht rückfragen, weil sie - wie hier - unerfahren sind, sich rechtlich und tatsächlich nicht auskennen und dem Täter vertrauen. Gerade bei Ausländern in der Situation der Opfer ist die unter Umständen gegebene Scheu, mit Amtsstellen Kontakt aufzunehmen, zu berücksichtigen. Unbehelflich ist auch der Einwand des Beschwerdeführers, ein kritisches Opfer hätte sich nicht täuschen lassen, da er in einzelnen Fällen ausdrücklich darauf hingewiesen habe, die Zahlungen würden als Schmiergelder verwendet. Opfern aus Ländern, wo Schmiergelder nicht unüblich sind, kann dieser Einwand nicht entgegengehalten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