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169</w:t>
      </w:r>
    </w:p>
    <w:p>
      <w:r>
        <w:t>Bundesgericht (BGE), 1994-01-01, DE</w:t>
      </w:r>
    </w:p>
    <w:p>
      <w:r>
        <w:rPr>
          <w:b/>
        </w:rPr>
        <w:t xml:space="preserve">Quelle: </w:t>
      </w:r>
      <w:r>
        <w:t>https://mcp.opencaselaw.ch/entscheid/bge_BGE_120_IV_169</w:t>
      </w:r>
    </w:p>
    <w:p>
      <w:r>
        <w:t>FR: ATF 120 IV 169</w:t>
      </w:r>
    </w:p>
    <w:p>
      <w:r>
        <w:t>IT: DTF 120 IV 169</w:t>
      </w:r>
    </w:p>
    <w:p>
      <w:pPr>
        <w:pStyle w:val="Heading2"/>
      </w:pPr>
      <w:r>
        <w:t>Regeste</w:t>
      </w:r>
    </w:p>
    <w:p>
      <w:r>
        <w:t>Regeste Art. 12 und 125 StGB; fahrlässige Körperverletzung, actio libera in causa. Die Haftung unter dem Gesichtspunkt der actio libera in causa erfordert, dass der Täter im Zeitpunkt der vollen Schuldfähigkeit voraussehen konnte, er werde ein bestimmtes Delikt begehen. Der spätere Geschehensablauf muss für den Täter dabei mindestens in seinen wesentlichen Zügen voraussehbar sein. Vorhersehbarkeit des Geschehensablaufs verneint bei einem alkoholisierten Fahrzeugführer, der sich durch das Fehlverhalten eines andern Verkehrsteilnehmers zu einer mit einer Körperverletzung endenden Verfolgungsjagd hat provozieren lassen.</w:t>
      </w:r>
    </w:p>
    <w:p>
      <w:r>
        <w:t>Regeste Art. 12 et 125 CP; lésions corporelles par négligence, actio libera in causa. Du point de vue de l'actio libera in causa, la responsabilité n'existe que si l'auteur, au moment où il avait pleine conscience de ses actes, pouvait prévoir qu'il allait commettre une infraction déterminée. La suite ultérieure des évènements doit au moins pour l'essentiel lui être prévisible. Ce caractère prévisible a été nié, s'agissant d'un automobiliste pris de boisson qui s'était laissé entraîner à une chasse- poursuite qui s'était terminée par des lésions corporelles, à cause du comportement fautif d'un autre usager de la route.</w:t>
      </w:r>
    </w:p>
    <w:p>
      <w:r>
        <w:t>Regesto Art. 12 e 125 CP; lesioni colpose, actio libera in causa. Sotto il profilo dell'actio libera in causa, la responsabilità è data solo se l'agente, al momento in cui era ancora pienamente cosciente dei suoi atti, poteva prevedere che avrebbe commesso un determinato reato. L'ulteriore seguito degli avenimenti doveva poter essere da lui prevista, almeno nei suoi tratti essenziali. Tale prevedibilità è stata negata in un caso in cui un conducente ebbro, irritato dal comportamento illecito di un altro utente della strada, aveva inseguito costui e cagionato lesioni personali.</w:t>
      </w:r>
    </w:p>
    <w:p>
      <w:pPr>
        <w:pStyle w:val="Heading2"/>
      </w:pPr>
      <w:r>
        <w:t>Erwägungen</w:t>
      </w:r>
    </w:p>
    <w:p>
      <w:r>
        <w:rPr>
          <w:b/>
        </w:rPr>
        <w:t>E. 2</w:t>
      </w:r>
    </w:p>
    <w:p>
      <w:r>
        <w:t>a) Gemäss Art. 12 StGB sind die Bestimmungen der Art. 10 und 11 StGB über die Unzurechnungsfähigkeit bzw. die verminderte Zurechnungsfähigkeit nicht anwendbar, wenn die schwere Störung oder die Beeinträchtigung des Bewusstseins vom Täter selbst in der Absicht herbeigeführt wurde, in diesem BGE 120 IV 169 S. 171 Zustande die strafbare Handlung zu verüben. Das Gesetz umschreibt damit die vorsätzliche sogenannte actio libera in causa (d.h. das verantwortliche Ingangsetzen des Geschehensablaufs). Der Grundsatz ist aber auch anwendbar bei der fahrlässigen actio libera in causa: Die Verminderung der Zurechnungsfähigkeit ist unbeachtlich, wenn der Täter in diesem Zustand eine fahrlässige Straftat begeht und die Tat für ihn zur Zeit, als er noch voll zurechnungsfähig war, bei pflichtgemässer Aufmerksamkeit voraussehbar war (vgl. BGE 117 IV 292 E. 2 mit Hinweisen). b) Die Vorinstanz hat in bezug auf das Fahren in angetrunkenem Zustand die volle Verantwortlichkeit des Beschwerdeführers unter dem Gesichtspunkt der actio libera in causa zu Recht und unangefochten bejaht. Zu prüfen ist somit einzig, ob für ihn zur Zeit, als er noch voll zurechnungsfähig war, bei pflichtgemässer Aufmerksamkeit voraussehbar war, er werde sich durch das Fehlverhalten eines andern Verkehrsteilnehmers zu einer mit einer Körperverletzung endenden Verfolgungsjagd provozieren lassen. c) Für die Haftung unter dem Gesichtspunkt der actio libera in causa genügt es nicht, wenn für den Täter nur die Möglichkeit irgendeines nicht näher konkretisierten Deliktes vorauszusehen war. Die Haftung erfordert vielmehr, dass der Täter im Zeitpunkt der vollen Schuldfähigkeit voraussehen konnte, er werde ein bestimmtes Delikt begehen (STRATENWERTH, Schweizerisches Strafrecht, Allg. Teil I, § 11 N. 44). Dabei ist nicht notwendig, dass der Täter den späteren Geschehensablauf in allen seinen Einzelheiten voraussehen konnte. Mindestens in seinen wesentlichen Zügen musste er für ihn aber voraussehbar sein, da er sonst nicht die Pflicht haben konnte, sich darauf einzustellen (STRATENWERTH, a.a.O., § 16 N. 17; NOLL/TRECHSEL, Schweizerisches Strafrecht, Allg. Teil I, 3. Aufl., S. 223). d) Die Vorinstanz legt dar, der Beschwerdeführer sei emotional unausgeglichen gewesen und habe zu Gefühlsausbrüchen und Unbeherrschtheiten geneigt. Mit diesem allgemeinen Hinweis lässt sich die Vorhersehbarkeit des hier zu beurteilenden Geschehensablaufs nicht begründen. Der Beschwerdeführer ist durch das Fehlverhalten eines unbekannten Verkehrsteilnehmers zu einer Vollbremsung gezwungen worden. Ein solches Fehlverhalten war zwar nicht ausgeschlossen, aber es war nicht so naheliegend, dass der Beschwerdeführer zur Zeit, als er zu trinken begann, bei pflichtgemässer Aufmerksamkeit damit hätte rechnen müssen. Die Vorinstanz stützt sich bei der Beurteilung der Frage, ob für den Beschwerdeführer seine Reaktion auf das Fehlverhalten des unbekannten BGE 120 IV 169 S. 172 Fahrzeuglenkers voraussehbar war, im übrigen auf keine konkreten Anhaltspunkte. Sie legt nicht dar, dass der Beschwerdeführer, betrunken oder nüchtern, bereits einmal in einer Art wie hier kurzschlüssig reagiert hätte. Sie stellt insbesondere nicht fest, dass sich in einem der Fälle, die zu seinen Vorstrafen wegen Fahrens in angetrunkenem Zustand geführt haben, etwas Vergleichbares zugetragen hätte. Unter diesen Umständen ist der Vorwurf, der Beschwerdeführer hätte zur Zeit, als er noch voll zurechnungsfähig war, bei pflichtgemässer Aufmerksamkeit den zur Auffahrkollision führenden Geschehensablauf voraussehen müssen, nicht begründet. Die Vorinstanz verletzt Bundesrecht, wenn sie unter Rückgriff auf eine actio libera in causa insoweit eine Verminderung der Zurechnungsfähigkeit verneint. e) Die Beschwerde ist daher gutzuheissen. Die Vorinstanz wird bei der Neubeurteilung der Sache zu prüfen haben, ob und inwieweit die Zurechnungsfähigkeit des Beschwerdeführers im Zusammenhang mit den auf der Verfolgungsjagd begangenen Straftaten vermindert war. Gestützt darauf wird sie neu zur Strafzumessung Stellung nehmen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