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164</w:t>
      </w:r>
    </w:p>
    <w:p>
      <w:r>
        <w:t>Bundesgericht (BGE), 1994-01-01, DE</w:t>
      </w:r>
    </w:p>
    <w:p>
      <w:r>
        <w:rPr>
          <w:b/>
        </w:rPr>
        <w:t xml:space="preserve">Quelle: </w:t>
      </w:r>
      <w:r>
        <w:t>https://mcp.opencaselaw.ch/entscheid/bge_BGE_120_IV_164</w:t>
      </w:r>
    </w:p>
    <w:p>
      <w:r>
        <w:t>FR: ATF 120 IV 164</w:t>
      </w:r>
    </w:p>
    <w:p>
      <w:r>
        <w:t>IT: DTF 120 IV 164</w:t>
      </w:r>
    </w:p>
    <w:p>
      <w:pPr>
        <w:pStyle w:val="Heading2"/>
      </w:pPr>
      <w:r>
        <w:t>Regeste</w:t>
      </w:r>
    </w:p>
    <w:p>
      <w:r>
        <w:t>Regeste Art. 46 Abs. 1, Art. 47 VStrR. Beschlagnahme beim Inhaber. Für die Beschlagnahme von Gegenständen gemäss Art. 46 Abs. 1 VStrR beim Inhaber und geschäftsführenden Miteigentümer der Firma genügt es, dass gegen diesen eine Strafuntersuchung eröffnet wurde; es ist nicht erforderlich, dass dies ausdrücklich auch gegenüber den anderen Miteigentümern bzw. der Firma geschehen ist. Die Beschlagnahme ist allen unmittelbar Betroffenen - in erster Linie bei der Beschlagnahme nicht anwesenden Eigentümern - mitzuteilen, soweit die Verwaltung von ihnen Kenntnis hat. Die Beschlagnahmeverfügung wird durch die Verfügung über die Einziehung der beschlagnahmten Gegenstände ersetzt.</w:t>
      </w:r>
    </w:p>
    <w:p>
      <w:r>
        <w:t>Regeste Art. 46 al. 1 et 47 DPA. Séquestre, détenteur des objets. Il est possible de séquestrer selon l'art. 46 al. 1 DPA des objets en main du détenteur, qui est aussi gérant et copropriétaire de l'entreprise, dès qu'une enquête de droit pénal administratif est ouverte contre lui; il n'est pas nécessaire que cette enquête soit dirigée formellement contre les autres copropriétaires ou contre l'entreprise elle-même. Toutes les personnes directement atteintes par le séquestre doivent être informées de l'exécution de cette mesure - en premier lieu les propriétaires qui n'y ont pas assisté - pour autant que leur identité soit connue de l'administration. L'ordonnance de confiscation des objets séquestrés remplace la décision de séquestre.</w:t>
      </w:r>
    </w:p>
    <w:p>
      <w:r>
        <w:t>Regesto Art. 46 cpv. 1, art. 47 DPA. Sequestro presso il detentore degli oggetti. È consentito sequestrare secondo l'art. 46 cpv. 1 DPA oggetti presso il detentore che è anche gerente e comproprietario di un'impresa, qualora sia stata aperta contro di lui un'inchiesta di diritto penale amministrativo; non occorre che tale inchiesta sia espressamente diretta anche contro gli altri comproprietari o contro l'impresa stessa. Tutte le persone direttamente colpite dal sequestro devono essere informate dell'esecuzione di tale provvedimento, in primo luogo i proprietari che non vi hanno assistito, sempreché la loro identità sia nota all'amministrazione. La decisione di confisca degli oggetti sequestrati sostituisce la decisione di sequestro.</w:t>
      </w:r>
    </w:p>
    <w:p>
      <w:pPr>
        <w:pStyle w:val="Heading2"/>
      </w:pPr>
      <w:r>
        <w:t>Erwägungen</w:t>
      </w:r>
    </w:p>
    <w:p>
      <w:r>
        <w:rPr>
          <w:b/>
        </w:rPr>
        <w:t>E. 1</w:t>
      </w:r>
    </w:p>
    <w:p>
      <w:r>
        <w:t>a) Gegen die Beschlagnahme und damit zusammenhängende Amtshandlungen kann innert drei Tagen, nachdem der Beschwerdeführer von der Amtshandlung Kenntnis erhalten hat, bei der Anklagekammer des Bundesgerichts Beschwerde geführt werden ( Art. 26 ff. VStrR ; SR 313.0). b) Die beanstandete Beschlagnahme wurde am 11. November 1993 durchgeführt. Bei der Beschlagnahme anwesend war u.a. der Geschäftsführer D.: Dieser ist nach der Darstellung der Beschwerdeführerin mit ihr zusammen Miteigentümer der Firma D. &amp; A.; Eigentümer der beschlagnahmten Geräte sei die Firma D. &amp; A. Die Beschwerdeführerin macht geltend, sie habe erst am 26. April 1994 BGE 120 IV 164 S. 166 von der Beschlagnahme Kenntnis erhalten. c) Gegenstände, die gemäss Art. 46 Abs. 1 lit. a und b VStrR als Beweismittel von Bedeutung sein können oder voraussichtlich der Einziehung unterliegen, können gemäss Art. 47 VStrR beim jeweiligen Inhaber beschlagnahmt werden, unbekümmert darum, ob dieser auch Eigentümer des betreffenden Gegenstandes ist. Die Beschlagnahme setzte somit entgegen der Auffassung der Beschwerdeführerin nicht voraus, dass neben der Untersuchung gegen D. auch gegen sie bzw. gegen die Firma D. &amp; A. eine Strafuntersuchung eröffnet wurde. Die Zulässigkeit der Beschlagnahme hängt nicht davon ab, ob der mit Beschlag zu belegende Gegenstand sich in Händen des Eigentümers oder eines Dritten befindet, denn die Beschlagnahme stellt lediglich eine provisorische prozessuale Massnahme zur vorläufigen Beweissicherung dar, die nicht ausführlich begründet werden muss und die aufgehoben wird, wenn sich der bestehende Verdacht im Laufe der Untersuchung als unbegründet erweist und der beschlagnahmte Gegenstand nicht eingezogen werden muss. Sie greift dem Entscheid über die endgültige Einziehung nicht vor, zumal die Rechte anspruchsberechtigter Dritter gemäss dem im Verwaltungsstrafrecht ebenfalls ( Art. 2 VStrR ) anwendbaren Art. 58bis StGB ausdrücklich vorbehalten sind; die entsprechenden Ansprüche erlöschen erst fünf Jahre nach der amtlichen Bekanntmachung der Einziehung. Der Einwand eines Beschwerdeführers, er sei rechtmässiger Eigentümer des beschlagnahmten Gegenstandes ist daher erst beim Entscheid über eine allfällige (definitive) Einziehung zu prüfen. Es stellt sich in diesem Zusammenhang die Frage, welchen weiteren Personen die im Beisein des Inhabers der Gegenstände durchgeführte Beschlagnahme mitgeteilt werden muss. Wer als Adressat der Mitteilung der Beschlagnahme in Betracht fällt, entscheidet sich nicht allein nach Art. 47 VStrR , sondern nach Art. 28 Abs. 1 VStrR . Danach ist zur Beschwerde berechtigt, wer durch die angefochtene Amtshandlung berührt ist und ein schutzwürdiges Interesse an der Aufhebung oder Änderung hat. Eine Beschlagnahme ist daher allen davon unmittelbar Betroffenen mitzuteilen, sofern diese mit dem Inhaber nicht identisch sind und soweit die Verwaltung von ihnen Kenntnis hat. Betroffen in diesem Sinn ist in erster Linie der bei der Beschlagnahme nicht anwesende Eigentümer des beschlagnahmten Gegenstandes, weshalb diesem die Massnahme mitzuteilen ist, was in der Regel durch Zustellung des Beschlagnahmeprotokolls geschehen wird. Der Beweis für die Mitteilung der BGE 120 IV 164 S. 167 Zwangsmassnahme obliegt dabei der Verwaltung (unveröffentlichte E. 2 von BGE 110 IV 112 ). Aus den Akten ergeben sich indessen im vorliegenden Fall keinerlei Anhaltspunkte dafür, dass die untersuchenden Beamten aufgrund von Hinweisen des Inhabers der beschlagnahmten Geräte oder anderen Indizien bei der Beschlagnahme oder im weiteren Verlauf des Verfahrens hätten erkennen können, dass weitere Personen an den Geräten Eigentumsansprüche geltend machen könnten. Im übrigen darf vorausgesetzt werden, dass der Miteigentümer, der die Geschäftsführung besorgt, allfällige weitere Eigentümer über eine Beschlagnahme von Waren informiert oder zumindest gegenüber den untersuchenden Beamten anlässlich der Beschlagnahme einen entsprechenden Vermerk im Beschlagnahmeprotokoll anbringt oder anbringen lässt. Es bestand somit auch kein Anlass, die Beschlagnahme weiteren Personen mitzuteilen. Die Beschwerdeführerin erlitt indessen durch die Nichtmitteilung der Beschlagnahme keinen Nachteil. Denn die im Strafbescheid gegen den Geschäftsführer D. verfügte Einziehung und Vernichtung der beschlagnahmten Geräte ersetzte die vorläufige Beschlagnahmeverfügung, die damit dahingefallen ist. Soweit sich die Beschwerde daher gegen die durchgeführte Beschlagnahme richtet, ist darauf nicht einzutreten. Die Einwände, die die Beschwerdeführerin gegenüber der Beschlagnahme vorbringt, kann sie auch noch im Einspracheverfahren gegen die Einziehungsverfügung geltend machen: Nachdem die Beschwerdeführerin am 26. April 1994 von der Einziehung Kenntnis erhielt, konnte sie sich gemäss Art. 67 Abs. 1 VStrR als Betroffene direkt gegen die verfügte Einziehung mit Einsprache an das Bundesamt für Kommunikation wenden und ihre Ansprüche geltend machen. Soweit die Beschwerdeführerin daher in ihrer Eingabe die Rückgabe der beschlagnahmten Geräte verlangt, hat das Bundesamt für Kommunikation diese als - fristgerecht erfolgte - Einsprache gegen den Einziehungsentscheid vom 19. April 1994 entgegenzunehmen. Die Akten werden daher von Amtes wegen dem Bundesamt für Kommunikation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