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10</w:t>
      </w:r>
    </w:p>
    <w:p>
      <w:r>
        <w:t>Bundesgericht (BGE), 1994-01-01, FR</w:t>
      </w:r>
    </w:p>
    <w:p>
      <w:r>
        <w:rPr>
          <w:b/>
        </w:rPr>
        <w:t xml:space="preserve">Quelle: </w:t>
      </w:r>
      <w:r>
        <w:t>https://mcp.opencaselaw.ch/entscheid/bge_BGE_120_IV_10</w:t>
      </w:r>
    </w:p>
    <w:p>
      <w:r>
        <w:t>FR: ATF 120 IV 10</w:t>
      </w:r>
    </w:p>
    <w:p>
      <w:r>
        <w:t>IT: DTF 120 IV 10</w:t>
      </w:r>
    </w:p>
    <w:p>
      <w:pPr>
        <w:pStyle w:val="Heading2"/>
      </w:pPr>
      <w:r>
        <w:t>Regeste</w:t>
      </w:r>
    </w:p>
    <w:p>
      <w:r>
        <w:t>Regeste Verurteilung gestützt auf einen Sachverhalt, der in einem Punkt von einem Einstellungsbeschluss abweicht; ne bis in idem. Der Grundsatz "ne bis in idem" verbietet es, eine Person wegen desselben Sachverhalts zweimal strafrechtlich zu verfolgen; er ist verletzt, wenn in bezug auf den Verfahrensgegenstand, die betroffene Person und die Tat Identität besteht. Der Richter darf in einem Verfahren wegen vollendeten Mordversuchs eine bestimmte Tatsache - hier: die Wegnahme einer Handgranate - feststellen, auch wenn in diesem Punkt das Verfahren von der zuständigen Behörde eingestellt worden ist (E. 2b).</w:t>
      </w:r>
    </w:p>
    <w:p>
      <w:r>
        <w:t>Regeste Condamnation sur la base d'un état de fait qui, sur un point, s'écarte d'une ordonnance de non-lieu antérieure; ne bis in idem. Le principe "ne bis in idem" interdit qu'une personne soit pénalement poursuivie deux fois pour les mêmes faits; il n'est violé que s'il y a identité de l'objet de la procédure, de la personne visée et des faits retenus. Le juge appelé à statuer sur l'accusation de crime manqué d'assassinat peut retenir un point de fait, à savoir que l'accusé avait soustrait une grenade, même si, sur ce point, une ordonnance de non-lieu a été rendue par l'autorité compétente (consid. 2b).</w:t>
      </w:r>
    </w:p>
    <w:p>
      <w:r>
        <w:t>Regesto Condanna in base ad una situazione di fatto che, su un punto, si scosta da una decisione anteriore di non doversi procedere; ne bis in idem. Il principio "ne bis in idem" vieta che una persona sia penalmente perseguita due volte per gli stessi fatti; esso è violato solo ove siano identici l'oggetto del procedimento, la persona interessata e i fatti considerati. Il giudice chiamato a decidere sull'imputazione di mancato assassinio può accertare una circostanza di fatto - nel caso concreto, che l'imputato aveva sottratto una granata - anche se l'autorità competente aveva su questo punto emanato una decisione di non doversi procedere (consid. 2b).</w:t>
      </w:r>
    </w:p>
    <w:p>
      <w:pPr>
        <w:pStyle w:val="Heading2"/>
      </w:pPr>
      <w:r>
        <w:t>Erwägungen</w:t>
      </w:r>
    </w:p>
    <w:p>
      <w:r>
        <w:rPr>
          <w:b/>
        </w:rPr>
        <w:t>E. 2</w:t>
      </w:r>
    </w:p>
    <w:p>
      <w:r>
        <w:t>b) Le recourant soutient qu'il y a eu violation du principe "ne bis in idem", parce que l'autorité cantonale a retenu, dans les considérants de sa décision, qu'il avait soustrait une grenade lors de son cours de répétition, alors qu'il avait obtenu sur ce point une ordonnance de non-lieu rendue par l'autorité militaire compétente. Le principe "ne bis in idem", bien qu'il puisse également être déduit de l' art. 4 Cst. et qu'il soit consacré par l'art. 4 du septième protocole relatif à la CEDH, appartient, selon la jurisprudence constante, au droit pénal fédéral ( ATF 118 IV 269 consid. 2, ATF 116 IV 262 consid. 3 et les références citées). Il en résulte que sa violation peut donner lieu à un pourvoi en nullité ( art. 269 al. 1 PPF [RS 312.0]; ATF 118 IV 269 consid. 2). Ce principe, qui est un corollaire de l'autorité de chose jugée, interdit qu'une personne soit pénalement poursuivie deux fois pour les mêmes faits ( ATF 118 IV 269 consid. 2). L'autorité de la chose jugée ne s'attache normalement qu'au dispositif de la décision définitive rendue en premier BGE 120 IV 10 S. 13 lieu (SCHMID, Strafprozessrecht, Zürich 1993, p. 163 no 587). L'autorité de chose jugée et le principe "ne bis in idem" supposent qu'il y ait identité de l'objet de la procédure, de la personne visée et des faits retenus (SCHMID, op.cit., p. 164 no 589; HAUSER, Strafprozessrecht, Bâle 1984, p. 241; PIQUEREZ, Procédure pénale, p. 472 s.). Il existe une certaine controverse sur la notion d'identité des faits, qu'il n'est pas nécessaire d'évoquer ici plus avant ( ATF 118 IV 269 consid. 2; SCHMID, op.cit., p. 164 no 589; HAUSER, op.cit., p. 241 s.; PIQUEREZ, op.cit., p. 473 no 2642 s.). S'agissant plus particulièrement d'une ordonnance de non-lieu rendue pour insuffisance des charges - comme c'est le cas en l'espèce -, il est admis que l'autorité de chose jugée est restreinte en ce sens que la poursuite peut être reprise en cas de découverte de preuves ou de charges nouvelles (PIQUEREZ, op.cit., p. 471 no 2628). Il apparaît cependant d'emblée en l'espèce que le recourant n'a pas été poursuivi ou puni deux fois pour les mêmes faits. Dans la procédure pénale militaire, il s'agissait de savoir si le recourant avait dérobé la grenade pendant son cours de répétition, tandis que dans la procédure actuelle, il s'agissait de déterminer s'il avait fait envoyer le colis piégé dans l'intention de tuer le destinataire. Les deux procédures se rapportent donc à des faits distincts, qui se sont produits en un autre lieu, à une autre date et contre d'autres intérêts. L'état de fait qui fonde l'accusation n'étant pas identique, le principe "ne bis in idem" ne trouve pas application. Le recourant n'a nullement été poursuivi ou puni deux fois pour les mêmes faits, puisque l'autorité cantonale, dans la présente procédure, ne l'a pas reconnu coupable de vol d'une grenade et ne l'a pas puni pour ce motif. Il reste à se demander si l'autorité cantonale, en admettant que le recourant avait dérobé la grenade, n'a pas porté atteinte à l'autorité de chose jugée qui s'attacherait à l'ordonnance de non-lieu rendue par l'auditeur. Or, le concept d'autorité de chose jugée n'a pas la portée que semble lui prêter le recourant. Il ne concerne en principe que le dispositif, c'est-à-dire ce qui a fait l'objet de la décision définitive. Or, l'autorité cantonale ne s'est nullement prononcée sur l'existence ou l'inexistence d'une infraction au code pénal militaire, de sorte qu'elle n'a pas statué sur le même objet. Dès lors que les deux décisions portent sur des infractions nettement distinctes, le jugement cantonal n'empiète pas sur la conclusion juridique qui constitue le dispositif de la décision militaire. Certes, les deux autorités ne sont pas parvenues aux mêmes conclusions sur un point de fait. Fondée sur des éléments différents, leur appréciation des BGE 120 IV 10 S. 14 preuves a divergé. On ne voit cependant pas en quoi cela violerait le droit fédéral. En effet, l'autorité cantonale était seule compétente pour statuer sur le délit manqué d'assassinat et il lui appartenait, sur la base des moyens de preuve apportés devant elle, d'établir l'ensemble des faits pertinents pour trancher la question qui lui était soumise et relevait de sa seule compétence. Le juge compétent apprécie librement les preuves ( art. 249 PPF ) et on ne voit pas pourquoi il devrait être lié, sur un point de fait, par l'opinion d'une autorité militaire. L'autorité pénale cantonale n'est en aucune façon subordonnée à la juridiction militaire et elle dispose à son égard d'une indépendance totale. On ne voit pas pourquoi l'autorité cantonale serait liée par l'opinion de l'auditeur, du seul fait que celui-ci s'est exprimé en premier. Certes, il est souhaitable d'éviter des décisions contradictoires; on se trouve ici dans une situation qui présente une certaine analogie - encore que l'indépendance des questions soit plus marquée - avec le cas du juge administratif appelé à statuer sur un retrait du permis de conduire après un jugement pénal définitif; or, dans ce contexte, il a été admis que le juge administratif pouvait, à certaines conditions, s'écarter des faits retenus par le juge pénal ( ATF 119 Ib 158 ss); dès lors que l'autorité cantonale disposait d'autres indices que ceux soumis à l'auditeur, elle pouvait sans aucun doute s'écarter des constatations de fait de celui-ci (cf. ATF 119 Ib 158 consid. 3c/aa). Il n'y a donc pas eu violation du principe de l'autorité de chose jugée ou de l'adage "ne bis in idem".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