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w:t>
      </w:r>
    </w:p>
    <w:p>
      <w:r>
        <w:t>Bundesgericht (BGE), 1994-01-01, DE</w:t>
      </w:r>
    </w:p>
    <w:p>
      <w:r>
        <w:rPr>
          <w:b/>
        </w:rPr>
        <w:t xml:space="preserve">Quelle: </w:t>
      </w:r>
      <w:r>
        <w:t>https://mcp.opencaselaw.ch/entscheid/bge_BGE_120_IV_1</w:t>
      </w:r>
    </w:p>
    <w:p>
      <w:r>
        <w:t>FR: ATF 120 IV 1</w:t>
      </w:r>
    </w:p>
    <w:p>
      <w:r>
        <w:t>IT: DTF 120 IV 1</w:t>
      </w:r>
    </w:p>
    <w:p>
      <w:pPr>
        <w:pStyle w:val="Heading2"/>
      </w:pPr>
      <w:r>
        <w:t>Regeste</w:t>
      </w:r>
    </w:p>
    <w:p>
      <w:r>
        <w:t>Regeste Art. 43 Ziff. 2 Abs. 2 StGB; Aufschub des Strafvollzugs zwecks ambulanter Behandlung. Auch eine Strafe von mehr als 18 Monaten (hier: zweieinhalb Jahre Gefängnis wegen qualifizierter Vergewaltigung) kann zu Gunsten einer ambulanten Behandlung aufgeschoben werden. Die ambulante Therapie geht vor, wenn eine sofortige Behandlung gute Resozialisierungschancen bietet und diese durch den Vollzug der Freiheitsstrafe klarerweise erheblich beeinträchtigt würden. Je länger die Freiheitsstrafe, deren Aufschub zur Diskussion steht, desto ausgeprägter die Abnormität, die geheilt werden soll.</w:t>
      </w:r>
    </w:p>
    <w:p>
      <w:r>
        <w:t>Regeste Art. 43 ch. 2 al. 2 CP; suspension de l'exécution de la peine pour permettre un traitement ambulatoire. Même une peine privative de liberté de plus de 18 mois (en l'espèce de deux ans et demi d'emprisonnement pour viol qualifié) peut être suspendue pour permettre un traitement ambulatoire. Les soins ambulatoires doivent prévaloir lorsqu'un traitement immédiat offre de bonnes chances de resocialisation et que celle-ci serait à l'évidence compromise gravement par l'exécution de la peine privative de liberté. Plus la peine privative de liberté est de longue durée, plus importante doit être l'anomalie qu'il faut soigner.</w:t>
      </w:r>
    </w:p>
    <w:p>
      <w:r>
        <w:t>Regesto Art. 43 n. 2 cpv. 2 CP; sospensione dell'esecuzione della pena per permettere un trattamento ambulatorio. Anche una pena privativa della libertà personale di più di 18 mesi (nella fattispecie: die due anni e mezzo di detenzione per violenza carnale aggravata) può essere sospesa per permettere un trattamento ambulatorio. Il trattamento ambulatorio deve prevalere laddove una terapia immediata offra buone probabilità di reinserimento sociale e quest'ultimo sia manifestamente compromesso in ampia misura in caso di esecuzione della pena privativa della libertà. Quanto maggiore sia la durata della pena privativa della libertà la cui esecuzione sia eventualmente da sospendere, tanto maggiore dev'essere l'anomalia da curare.</w:t>
      </w:r>
    </w:p>
    <w:p>
      <w:pPr>
        <w:pStyle w:val="Heading2"/>
      </w:pPr>
      <w:r>
        <w:t>Erwägungen</w:t>
      </w:r>
    </w:p>
    <w:p>
      <w:r>
        <w:rPr>
          <w:b/>
        </w:rPr>
        <w:t>E. 2</w:t>
      </w:r>
    </w:p>
    <w:p>
      <w:r>
        <w:t>In der Hauptsache rügt die Beschwerdeführerin den Aufschub der Freiheitsstrafe zwecks ambulanter Behandlung. Ein Strafaufschub zugunsten einer ambulanten Massnahme sei bereits dann generell nicht mehr zulässig, wenn die Strafe mehr als 18 Monate betrage. Dann gehe der Strafanspruch des Staates vor und dürfe nicht durch die Anordnung einer ambulanten Massnahme vereitelt werden. Die Vergeltungsbedürfnisse hätten bei hohen Strafen in jedem Fall Vorrang vor der Spezialprävention. Eher sei auf die Behandlung zu verzichten. a) 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Er kann den Vollzug der Strafe aufschieben, um der Art der Behandlung Rechnung zu tragen (Ziff. 2 Abs. 2). b) Nach der Rechtsprechung des Bundesgerichts sollte dort, wo ein Erfolg wahrscheinlich ist, tendenziell eine ärztliche Behandlung eingreifen. Der Strafaufschub ist angezeigt, wenn eine tatsächliche Aussicht auf erfolgreiche Behandlung durch den sofortigen Vollzug der Freiheitsstrafe erheblich beeinträchtigt würde. Doch ist eine Beeinträchtigung nicht erst erheblich, wenn der Vollzug eine Behandlung verunmöglicht oder den Behandlungserfolg völlig in Frage stellt. Vielmehr geht die Therapie vor, sobald eine sofortige Behandlung gute Resozialisierungschancen bietet, welche der Vollzug der Freiheitsstrafe klarerweise verhindern oder vermindern würde. Diesfalls ist der Vollzug mit der Behandlung nicht vereinbar ("n'est pas compatible avec le traitement", gemäss französischem Gesetzeswortlaut; BGE 116 IV 101 E. 1a, BGE 115 IV 87 E. 1a und b). Unter dem Gesichtspunkt des Gleichheitsgebots muss die Abnormität desto ausgeprägter sein und mithin ein Aufschub umso zurückhaltender gehandhabt werden, je länger die zugunsten der ambulanten Behandlung aufzuschiebende Freiheitsstrafe ist (vgl. BGE 118 IV 351 E. 2e, BGE 107 IV 20 E. 5b). Ausserdem darf die ambulante Behandlung nicht missbraucht werden, um etwa den Vollzug der Strafe zu umgehen oder ihn auf unbestimmte Zeit hinauszuschieben. Der Aufschub muss sich aus Gründen der Heilbehandlung hinreichend rechtfertigen ( BGE 107 IV 20 E. 4c, BGE 105 IV 87 E. 2b). BGE 120 IV 1 S. 4 Angesichts einer schweren geistigen Abnormität kann somit eine längere Freiheitsstrafe zugunsten einer ambulanten Behandlung aufgeschoben werden. Dabei ist ein Widerstreit zwischen Spezial- und Generalprävention möglich, weil ihre Zielsetzungen nach unterschiedlichen Sanktionen rufen können (Behandlung ausserhalb des Strafvollzugs bzw. Vollzug der Freiheitsstrafe). Ebenso kann der Gesichtspunkt der Spezialprävention mit dem Aspekt der rechtsgleichen Behandlung in Konflikt treten. Die Lösung lässt sich somit nicht einfach aufgrund der einen oder andern Zielsetzung finden. Die Strafzwecke stehen sich denn auch nicht unvereinbar gegenüber. Sie bilden vielmehr ein komplexes Verhältnis wechselseitiger Ergänzung, wobei je nach Sachzusammenhang das eine oder das andere Kriterium stärker hervortritt (STRATENWERTH, Schweizerisches Strafrecht, Allgemeiner Teil I, S. 44 N. 28). Spezial- und Generalprävention sind gegeneinander abzuwägen und in eine Rangfolge zu bringen. Dabei gerät die Spezialprävention in zweifacher Hinsicht in den Vordergrund. Zum einen dient das Strafrecht in erster Linie nicht der Vergeltung, sondern der Verbrechensverhütung. Dies bringt der Gesetzgeber nicht nur mit der Bezeichnung der Resozialisierung als Ziel des Strafvollzuges ( Art. 37 Ziff. 1 Abs. 1 StGB ) zum Ausdruck, sondern vor allem auch mit der bei der StGB-Teilrevision von 1971 erfolgten Ausweitung der Möglichkeit der Anordnung von Massnahmen. Deshalb sind Sanktionen, die die Besserung oder Heilung des Täters gewährleisten, zu verhängen und solche, die dem Anliegen der Verbrechensverhütung zuwiderlaufen, möglichst zu vermeiden ( BGE 118 IV 337 E. 2c). Zum andern ist zu berücksichtigen, dass im Konfliktsfall ein Vorrang der Generalprävention das spezialpräventive Ziel zu vereiteln droht, die Bevorzugung der Spezialprävention hingegen die generalpräventiven Wirkungen einer Sanktion nicht ausschliesst, sondern höchstens in einer schwer messbaren Weise abschwächt; denn auch eine mildere Sanktion wirkt generalpräventiv. Andererseits gebührt den spezialpräventiven Bedürfnissen nur insoweit der Vorrang, wie generalpräventive Mindesterfordernisse noch gewahrt sind (ROXIN, Strafrecht, Allgemeiner Teil I, München 1992, S. 39 N. 40). Im Rahmen der Art. 43 und 44 StGB ist diese Problematik jedoch insoweit etwas relativiert, als das Gesetz gerade davon ausgeht, dass der geistig Abnorme oder Süchtige grundsätzlich massnahmebedürftig ist und - anders als der gewöhnliche Täter - einer spezifischen Sanktion bedarf. c) Der Richter beurteilt im Rahmen des Art. 43 Ziff. 2 Abs. 2 StGB den Einzelfall unter Berücksichtigung der erwähnten Grundsätze und aller BGE 120 IV 1 S. 5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Art. 43 Ziff. 2 Abs. 2 StGB nicht zwingend, den Vollzug der Freiheitsstrafe auch tatsächlich aufzuschieben. Die Bestimmung ist als "Kann"-Vorschrift ausgestaltet; sie überlässt es dem Richter, nach seinem (pflichtgemässen) Ermessen über den Strafaufschub zu befinden. In dieses weite Beurteilungsermessen des Sachrichters kann das Bundesgericht nur bei Ermessensüberschreitung oder -missbrauch eingreifen ( BGE 116 IV 101 E. 1a). d) Die Vorinstanz weist vorab auf den schwer gestörten Geisteszustand des Täters im Sinne von Art. 43 Ziff. 1 Abs. 1 StGB hin. Nach den Gutachten schäle sich beim Täter als Kernsymptomatik ein psychopathologisches Syndrom heraus, das nicht nur als schizoide, sondern bereits als krankhafte, präschizophrene Persönlichkeit umschrieben werden müsse. Nach Würdigung der verschiedenen Gutachten kommt die Vorinstanz zum Schluss, die medizinische Behandlungsnotwendigkeit und die Erfolgsaussichten der Behandlung seien ausgewiesen, ein Strafvollzug jedoch mit dieser Behandlung unvereinbar. Sie wägt die Aspekte der Spezialprävention gegen jene der Generalprävention ab und schliesst, dass den beiden Bedürfnissen nicht in gleicher Weise Rechnung getragen werden könne. Bei dieser Sachlage bewertet sie die begründete Aussicht, dass durch die Behandlung des (mit Jahrgang 1968 noch jungen) Täters weiteren Gewaltausbrüchen und entsprechend schwerwiegenden Delikten wirksam vorgebeugt werden könne, höher als das Interesse an der Vollstreckung der Freiheitsstrafe. Die zweieinhalbjährige Strafe sei zwar nicht kurz, aber auch nicht derart lang, dass generalpräventive Gesichtspunkte einen Strafaufschub ausschliessen müssten. e) Damit beurteilt die Vorinstanz die Sache nach den massgeblichen Kriterien. Sie gewichtet die verschiedenen Gesichtspunkte sorgfältig und berücksichtigt auch das Erfordernis der Verbrechensverhütung. Schliesslich hat sie beim Entscheid, die Freiheitsstrafe zugunsten der ambulanten Massnahme aufzuschieben, ihr (weites) Ermessen nicht überschritten. Das angefochtene Urteil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