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423</w:t>
      </w:r>
    </w:p>
    <w:p>
      <w:r>
        <w:t>Bundesgericht (BGE), 1994-01-01, DE</w:t>
      </w:r>
    </w:p>
    <w:p>
      <w:r>
        <w:rPr>
          <w:b/>
        </w:rPr>
        <w:t xml:space="preserve">Quelle: </w:t>
      </w:r>
      <w:r>
        <w:t>https://mcp.opencaselaw.ch/entscheid/bge_BGE_120_II_423</w:t>
      </w:r>
    </w:p>
    <w:p>
      <w:r>
        <w:t>FR: ATF 120 II 423</w:t>
      </w:r>
    </w:p>
    <w:p>
      <w:r>
        <w:t>IT: DTF 120 II 423</w:t>
      </w:r>
    </w:p>
    <w:p>
      <w:pPr>
        <w:pStyle w:val="Heading2"/>
      </w:pPr>
      <w:r>
        <w:t>Regeste</w:t>
      </w:r>
    </w:p>
    <w:p>
      <w:r>
        <w:t>Regeste Entschädigung des Notwegrechts (Art. 694 Abs. 1 ZGB). Führt der Notweg über eine bereits bestehende Zufahrt, darf die Entschädigung in Abweichung von der globalen Ermittlung der Wertdifferenz auch so berechnet werden, dass sich der Berechtigte am Verkehrswert der vom Notweg konkret beanspruchten Fläche angemessen beteiligt.</w:t>
      </w:r>
    </w:p>
    <w:p>
      <w:r>
        <w:t>Regeste Indemnité pour droit de passage nécessaire (art. 694 al. 1 CC). Lorsque le passage nécessaire se confond avec un accès déjà existant, il est possible, pour le calcul de l'indemnité, de s'écarter de l'estimation globale de la différence de valeur, et d'exiger du bénéficiaire une participation financière appropriée à la valeur vénale de la surface concrètement touchée par le passage nécessaire.</w:t>
      </w:r>
    </w:p>
    <w:p>
      <w:r>
        <w:t>Regesto Indennità per un diritto di passo necessario (art. 694 cpv. 1 CC). Se il passo necessario si confonde con un accesso già esistente, l'indennità può anche essere calcolata, derogando al principio della determinazione globale della differenza di valore, in modo che il beneficiario contribuisca adeguatamente al valore venale della superficie concretamente toccata dal passo necessario.</w:t>
      </w:r>
    </w:p>
    <w:p>
      <w:pPr>
        <w:pStyle w:val="Heading2"/>
      </w:pPr>
      <w:r>
        <w:t>Erwägungen</w:t>
      </w:r>
    </w:p>
    <w:p>
      <w:r>
        <w:rPr>
          <w:b/>
        </w:rPr>
        <w:t>E. 7</w:t>
      </w:r>
    </w:p>
    <w:p>
      <w:r>
        <w:t>a) ... Die Stellung des Notwegberechtigten ist derjenigen eines Exproprianten ähnlich ( BGE 85 II 392 E. 3 S. 402, BGE 45 II 23 E. 2 S. 26). Diese Parallele ergibt sich einerseits aus dem Wortlaut von Art. 694 Abs. 1 ZGB , wonach eine "volle Entschädigung" geschuldet ist (so auch Art. 16 EntG ; SR 711), andererseits auch aus dem Umstand, dass für die Berechnung der Entschädigung ausschliesslich die Nachteile des Notwegbelasteten BGE 120 II 423 S. 424 massgeblich sind, die Vorteile des Notwegberechtigten mithin unberücksichtigt bleiben (MEIER-HAYOZ, N. 78 zu Art. 694 ZGB ). Aus diesen Gründen wird zu Recht die Ansicht vertreten, für die Berechnung seien die Grundsätze der Enteignung heranzuziehen mit der Folge, dass der Notwegbelastete schadenersatzrechtlich im Ergebnis gleich gestellt wird, wie wenn das Grundstück von keinem Notwegbegehren bedroht wäre (CARONI-RUDOLF, Der Notweg, Diss. Bern 1969, S. 131 und 133 mit Fn. 7 f. und 9; HAAB, N. 22 zu Art. 694 - 696 ZGB ; WALDIS, Das Nachbarrecht, 4. Aufl. 1953, S. 176 bei und mit Fn. 25). Demnach entspricht die Entschädigung der Differenz zwischen dem Verkehrswert des unbelasteten und demjenigen des mit dem Notweg belasteten Grundstücks ( BGE 114 Ib 321 E. 3 S. 323 f. mit Hinweisen; HESS/WEIBEL, Das Enteignungsrecht des Bundes, N. 173 zu Art. 19 EntG ). Häufig, besonders wenn es sich beim belasteten Grundstück wie hier um ein überbautes handelt, ist die klassische Differenzberechnung auf der Basis der beiden Eckwerte mit Schwierigkeiten behaftet, die der Schätzung aleatorische Züge verleihen, nicht anders als bei der Schadenermittlung im Vertrags- und im zivilrechtlichen Deliktsrecht, die im Grundsatz ebenfalls auf einer Differenzberechnung beruht ( BGE 116 II 441 E. 3a S. 444, BGE 104 II 198 E. a S. 199 mit Hinweisen). Die Schätzung bleibt daher in solchen Fällen, gleich wie im Enteignungsverfahren, mit Vorteil auf die Wertdifferenz des vom Notwegrecht konkret beanspruchten Grundstückteils allein beschränkt. Folglich ist es bundesrechtskonform, wenn der Notwegberechtigte sich am Verkehrswert der von ihm beanspruchten Fläche durch Einkauf angemessen beteiligt (nicht veröffentlichtes Urteil vom 28. April 1992 i.S. H., E. 3; vgl. auch das Urteil des Kantonsgerichts Graubünden vom 4. Mai 1987, in: Praxis des Kantonsgerichts von Graubünden, 1987, S. 12 f., Nr. 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