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408</w:t>
      </w:r>
    </w:p>
    <w:p>
      <w:r>
        <w:t>Bundesgericht (BGE), 1994-01-01, FR</w:t>
      </w:r>
    </w:p>
    <w:p>
      <w:r>
        <w:rPr>
          <w:b/>
        </w:rPr>
        <w:t xml:space="preserve">Quelle: </w:t>
      </w:r>
      <w:r>
        <w:t>https://mcp.opencaselaw.ch/entscheid/bge_BGE_120_II_408</w:t>
      </w:r>
    </w:p>
    <w:p>
      <w:r>
        <w:t>FR: ATF 120 II 408</w:t>
      </w:r>
    </w:p>
    <w:p>
      <w:r>
        <w:t>IT: DTF 120 II 408</w:t>
      </w:r>
    </w:p>
    <w:p>
      <w:pPr>
        <w:pStyle w:val="Heading2"/>
      </w:pPr>
      <w:r>
        <w:t>Regeste</w:t>
      </w:r>
    </w:p>
    <w:p>
      <w:r>
        <w:t>Regeste Arbeitsvertrag. Gerichtsbarkeits-Immunität fremder Staaten. Kriterien, die bei der Unterscheidung zwischen Handlungen iure imperii und iure gestionis heranzuziehen sind. Anwendung dieser Kriterien auf den Fall eines für den Entsendestaat arbeitenden Dolmetschers und Übersetzers.</w:t>
      </w:r>
    </w:p>
    <w:p>
      <w:r>
        <w:t>Regeste Contrat de travail. Immunité de juridiction des Etats étrangers. Critères permettant de distinguer les actes accomplis jure imperii des actes accomplis jure gestionis. Application de ces critères au cas d'un traducteur-interprète travaillant pour le compte de l'Etat accréditant.</w:t>
      </w:r>
    </w:p>
    <w:p>
      <w:r>
        <w:t>Regesto Contratto di lavoro. Immunità di giurisdizione di Stati esteri. Criteri per distinguere gli atti iure imperii da quelli iure gestionis. Applicazione di tali criteri al caso di un traduttore e interprete impiegato dallo Stato accreditante.</w:t>
      </w:r>
    </w:p>
    <w:p>
      <w:pPr>
        <w:pStyle w:val="Heading2"/>
      </w:pPr>
      <w:r>
        <w:t>Erwägungen</w:t>
      </w:r>
    </w:p>
    <w:p>
      <w:r>
        <w:rPr>
          <w:b/>
        </w:rPr>
        <w:t>E. 5</w:t>
      </w:r>
    </w:p>
    <w:p>
      <w:r>
        <w:t>a) Il est admis, d'une manière générale, que le privilège de l'immunité diplomatique n'est pas une règle absolue. L'Etat étranger n'en bénéficie que lorsqu'il agit en vertu de sa souveraineté (jure imperii). Il ne peut, en revanche, s'en prévaloir s'il se situe sur le même plan qu'une personne privée, en particulier s'il agit en qualité de titulaire d'un droit privé (jure gestionis). Les actes accomplis jure imperii, ou actes de souveraineté, se distinguent des actes accomplis jure gestionis, ou actes de gestion, non par leur but mais par leur nature. Pour qualifier un acte donné, l'autorité appelée à statuer peut également recourir à des critères extérieurs à cet acte. Elle procédera aussi, dans chaque cas d'espèce, à une comparaison de l'intérêt de l'Etat étranger à bénéficier de l'immunité avec celui de l'Etat du for à exercer sa souveraineté juridictionnelle et celui du demandeur à obtenir une protection judiciaire de ses droits. Enfin, de tout temps, la jurisprudence suisse a marqué une tendance à restreindre le domaine de l'immunité (pour l'ensemble de ces principes, cf. l' ATF 113 Ia 172 consid. 2 et les arrêts cités). b) En matière de contrat de travail, la jurisprudence admet que, si l'Etat accréditant peut avoir un intérêt important à ce que les litiges qui l'opposent à des membres de l'une de ses ambassades exerçant des fonctions supérieures ne soient pas portés devant des tribunaux étrangers, les circonstances ne sont pas les mêmes lorsqu'il s'agit d'employés BGE 120 II 408 S. 410 subalternes. En tout cas lorsque l'employé n'est pas un ressortissant de l'Etat accréditant et qu'il a été recruté puis engagé au for de l'ambassade, la juridiction du for peut être reconnue dans la règle. L'Etat accréditant n'est alors pas touché dans l'exercice des tâches qui lui incombent en sa qualité de titulaire de la puissance publique ( ATF 110 II 255 consid. 4 p. 261). Pour décider si le travail accompli par une personne qui est au service de l'Etat accréditant ressortit ou non à l'exercice de la puissance publique, il faut partir des constatations souveraines de la dernière autorité cantonale touchant l'activité litigieuse, telle qu'elle a été déployée dans le cas concret, sans tenir compte des allégations contraires ou nouvelles des parties à ce sujet ( art. 63 al. 2 OJ ). En effet, à défaut de législation déterminant quelles fonctions permettent à l'Etat accréditant de se prévaloir, à l'égard de leurs titulaires, de son immunité, la désignation de la fonction exercée ne saurait être, à elle seule, un critère décisif. Aussi bien, selon les tâches qui lui sont confiées, tel employé apparaîtra comme un instrument de la puissance publique alors que tel autre, censé occuper un poste identique, devra être classé dans la catégorie des employés subalternes. L'activité de traducteur-interprète n'échappe pas à la règle, nonobstant les tentatives qui ont été faites, ici et là, de la rattacher, in abstracto, à l'une des deux catégories en présence (à ce sujet, cf. PHILIPPE CAHIER, Le droit diplomatique contemporain, 2e éd., p. 313/314 et les références; voir aussi l' ATF 110 II 255 consid. 4d p. 264 in limine, où le Tribunal fédéral range les traducteurs dans la catégorie du personnel de bureau). c) En l'espèce, le demandeur, qui n'est pas un ressortissant de l'Etat défendeur, a été recruté au moyen d'une annonce que la défenderesse avait fait paraître dans un hebdomadaire genevois et il a été engagé au for de la Mission. Touchant un salaire modeste, il a assuré la traduction de l'arabe en français, et vice versa, de l'ensemble des documents concernant la Mission, a rédigé lui-même certaines lettres et a participé, comme interprète, à des conférences ou réceptions organisées dans les locaux de la Mission. Outre ces activités, il a assisté les enfants de l'ambassadeur dans leurs tâches scolaires. Ce dernier travail ne constituait assurément pas un acte jure imperii. La même conclusion s'impose s'agissant de l'activité de traducteur-interprète proprement dite, même si l'on se trouve sans doute en présence d'un cas limite. En effet, le traducteur-interprète ne participe pas, en règle générale, à la formation de la volonté de celui qui l'emploie, mais s'attache uniquement à rendre le plus fidèlement BGE 120 II 408 S. 411 possible le sens de ce qu'il lit ou entend. Certes, une telle activité peut revêtir un caractère confidentiel marqué, suivant la teneur des écrits à traduire ou des propos à interpréter. Ce n'est toutefois pas là un élément décisif pour qualifier l'activité en question, puisqu'aussi bien d'autres personnes travaillant au service de l'Etat accréditant sont amenées soit à accomplir des tâches confidentielles, soit à prendre connaissance de données ou informations de cette nature, bien qu'elles occupent des postes subalternes, tels les secrétaires, les dactylos, les archivistes, les chauffeurs, les membres du service de sécurité, etc. Par conséquent, hormis l'aspect intellectuel du travail confié au demandeur, rien ne distinguait, en l'occurrence, cette activité, sous l'angle du pouvoir décisionnel, de celle accomplie par le personnel administratif et technique de la Mission. Que le traducteur-interprète ait encore rédigé lui-même certaines lettres n'y change rien, car il n'est pas établi, ni même allégué, qu'un tel travail ait dépassé les limites usuelles, c'est-à-dire la formulation de la pensée d'autrui sur les indications et sous le contrôle des signataires desdites lettres. Dans ces conditions, il n'est pas possible de voir, dans l'activité litigieuse, autre chose que l'exercice d'une fonction subalterne. Cependant, cette circonstance ne suffit pas à elle seule pour que la Suisse puisse connaître du litige. Tout rapport de droit privé assumé par un Etat étranger ne peut pas donner lieu à des mesures de procédure en Suisse. Encore faut-il que le rapport de droit en cause ait certains liens avec le territoire suisse ("Binnenbeziehung"), c'est-à-dire qu'il y soit né ou doive y être exécuté ou, tout au moins, que le débiteur ait accompli certains actes de nature à y créer un lieu d'exécution ( ATF 106 Ia 142 consid. 3b; EGLI, L'immunité de juridiction et d'exécution des Etats étrangers et de leurs agents dans la jurisprudence du Tribunal fédéral, in: Festschrift 100 Jahre SchKG/Centenaire de la LP, p. 208 et les autres arrêts cités). En l'occurrence, le demandeur, qui séjournait en Suisse depuis 1983, a été recruté et engagé à Genève, ville dans laquelle il a exercé son activité. La relation avec la Suisse est ainsi incontestable. Force est, dès lors, de constater, au terme de cet examen, que l'exception d'immunité soulevée par la défenderesse est mal fondée, contrairement à l'avis des juridictions genevoises, ce qui entraîne l'admission du recours, sans qu'il soit nécessaire d'examiner le moyen pris de la violation de l' art. 6 par. 1 CEDH , l'annulation de l'arrêt attaqué et le renvoi de la cause à la cour cantonale pour qu'elle se prononce sur le fond après avoir examiné, le cas échéant, les autres questions de recevabilité qui pourraient se poser.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