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369</w:t>
      </w:r>
    </w:p>
    <w:p>
      <w:r>
        <w:t>Bundesgericht (BGE), 1994-01-01, FR</w:t>
      </w:r>
    </w:p>
    <w:p>
      <w:r>
        <w:rPr>
          <w:b/>
        </w:rPr>
        <w:t xml:space="preserve">Quelle: </w:t>
      </w:r>
      <w:r>
        <w:t>https://mcp.opencaselaw.ch/entscheid/bge_BGE_120_II_369</w:t>
      </w:r>
    </w:p>
    <w:p>
      <w:r>
        <w:t>FR: ATF 120 II 369</w:t>
      </w:r>
    </w:p>
    <w:p>
      <w:r>
        <w:t>IT: DTF 120 II 369</w:t>
      </w:r>
    </w:p>
    <w:p>
      <w:pPr>
        <w:pStyle w:val="Heading2"/>
      </w:pPr>
      <w:r>
        <w:t>Regeste</w:t>
      </w:r>
    </w:p>
    <w:p>
      <w:r>
        <w:t>Regeste Art. 28 ff. ZGB; Persönlichkeitsschutz, Abgrenzung zwischen Spielregel und Rechtsnorm. Wo Persönlichkeitsrechte verletzt sind, kommt der Abgrenzung zwischen Spielregel und Rechtsnorm keine Bedeutung zu.</w:t>
      </w:r>
    </w:p>
    <w:p>
      <w:r>
        <w:t>Regeste Art. 28 ss CC; protection de la personnalité, distinction entre règles de jeu et règles de droit. La distinction entre règles de jeu et règles de droit est dénuée de pertinence en cas d'atteinte aux droits de la personnalité.</w:t>
      </w:r>
    </w:p>
    <w:p>
      <w:r>
        <w:t>Regesto Art. 28 segg. CC; protezione della personalità, distinzione tra regole del gioco e regole di diritto. La distinzione tra regole del gioco e regole di diritto è irrilevante nel caso di una violazione dei diritti della personalità.</w:t>
      </w:r>
    </w:p>
    <w:p>
      <w:pPr>
        <w:pStyle w:val="Heading2"/>
      </w:pPr>
      <w:r>
        <w:t>Erwägungen</w:t>
      </w:r>
    </w:p>
    <w:p>
      <w:r>
        <w:rPr>
          <w:b/>
        </w:rPr>
        <w:t>E. 2</w:t>
      </w:r>
    </w:p>
    <w:p>
      <w:r>
        <w:t>C'est à juste titre que la cour cantonale a considéré que la sanction litigieuse ressortit au droit, et non au jeu. La suspension infligée à l'intimé - mesure qui affecte indubitablement la sphère personnelle et économique d'un entraîneur professionnel - va bien au delà d'une simple sanction destinée à assurer le déroulement correct d'un jeu; elle constitue une véritable peine statutaire qui porte atteinte aux intérêts juridiques de l'intéressé et peut, à ce titre, être soumise au contrôle du juge étatique ( ATF 119 II 271 consid. 3c p. 280/281, ATF 118 II 12 consid. 2b p. 16, ATF 108 II 15 consid. 3 p. 21; RSJ 1991 p. 284 ss, 1988 p. 85 ss, 1979 p. 75 ss; RVJ 1991 p. 346 ss; RJB 1988 p. 311 ss; KUMMER, Spielregel und Rechtsregel, Berne 1973, p. 45/46 et 48 ss; BADDELEY, L'association sportive face au droit, thèse Genève 1994, p. 115 ss, 317 ss et 352 ss; BODMER, Vereinstrafe und Verbandsgerichtsbarkeit, thèse St-Gall 1989, p. 160 ss; DALLÈVES, Problèmes juridiques de la lutte contre le dopage, in Il diritto dello sport, Lugano 1994, p. 20; LEU, L'intervention des BGE 120 II 369 S. 371 tribunaux nationaux dans la pratique du sport, in Conférence Internationale Droit et Sport, Lausanne 1993, p. 49 ch. 4 et 50 ch. 6; OSWALD, Le règlement des litiges et la répression des comportements illicites dans le domaine sportif, in Mélanges Grossen, p. 74; OSWALD, Le pouvoir juridictionnel des organisations sportives et ses limites, in Conférence Internationale Droit et Sport, p. 44 ch. VII; ROCHAT, Le règlement des litiges en matière sportive, in Il diritto dello sport, p. 10; SCHERRER, Rechtsfragen des organisierten Sportlebens in der Schweiz, thèse Zurich 1982, p. 139 ss et 150/151; SCHERRER, Sportrecht - Eine notwendige Sonderdisziplin?, RSJ 1988 p. 3 ch. III/2). Au demeurant, comme l'a jugé récemment la cour de céans, la distinction entre règles de jeu et règles de droit est dénuée de pertinence en cas d'atteinte aux droits de la personnalité (arrêt non publié Ligue Suisse de Hockey sur Glace c. H. du 12 août 1993, consid. 2). L'"atteinte", au sens des art. 28 ss CC , est réalisée par tout comportement humain, tout acte de tiers, qui cause de quelque façon un trouble aux biens de la personnalité d'autrui en violation des droits qui la protègent (TERCIER, Le nouveau droit de la personnalité, Zurich 1984, n. 550 ss; BUCHER, Personnes physiques et protection de la personnalité, 2e éd., Bâle/Francfort 1992, n. 514; DESCHENAUX/STEINAUER, Personnes physiques et tutelle, 2e éd., Berne 1986, n. 579); même l'application d'une règle de jeu peut dès lors violer les droits de la personnalité (KUMMER, op.cit., p. 73/74; cf. ATF 102 II 211 consid. 7 p.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