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293</w:t>
      </w:r>
    </w:p>
    <w:p>
      <w:r>
        <w:t>Bundesgericht (BGE), 1994-01-01, DE</w:t>
      </w:r>
    </w:p>
    <w:p>
      <w:r>
        <w:rPr>
          <w:b/>
        </w:rPr>
        <w:t xml:space="preserve">Quelle: </w:t>
      </w:r>
      <w:r>
        <w:t>https://mcp.opencaselaw.ch/entscheid/bge_BGE_120_II_293</w:t>
      </w:r>
    </w:p>
    <w:p>
      <w:r>
        <w:t>FR: ATF 120 II 293</w:t>
      </w:r>
    </w:p>
    <w:p>
      <w:r>
        <w:t>IT: DTF 120 II 293</w:t>
      </w:r>
    </w:p>
    <w:p>
      <w:pPr>
        <w:pStyle w:val="Heading2"/>
      </w:pPr>
      <w:r>
        <w:t>Regeste</w:t>
      </w:r>
    </w:p>
    <w:p>
      <w:r>
        <w:t>Regeste Wirkungen des über den Nachlass eines italienischen Staatsangehörigen mit letztem Wohnsitz in der Schweiz nach Art. 553 ZGB errichteten Sicherungsinventars; Art. 17 Abs. 3 des Niederlassungs- und Konsularvertrages zwischen der Schweiz und Italien von 1868. Das Inventar nach Art. 553 ZGB bezweckt nur die Sicherung des bei Eröffnung des Erbganges vorhandenen Vermögens. Es dient nicht der Berechnung der Erb- und der Pflichtteile und kann deshalb auch nicht Rechnungsgrundlage für die Erbteilung bilden. Dem Inventar kommt auch keine andere Aufgabe zu, wenn Nachlassstreitigkeiten nach Art. 17 Abs. 3 des Niederlassungs- und Konsularvertrages zwischen der Schweiz und Italien von 1868 in Italien nach italienischem Recht auszutragen sind.</w:t>
      </w:r>
    </w:p>
    <w:p>
      <w:r>
        <w:t>Regeste Effets de l'inventaire conservatoire selon l'art. 553 CC concernant la succession d'un ressortissant italien ayant eu son dernier domicile en Suisse; art. 17 al. 3 de la Convention d'établissement et consulaire entre la Suisse et l'Italie de 1868. L'inventaire selon l'art. 553 CC ne tend qu'à la conservation du patrimoine existant à l'ouverture de la succession. Il n'est pas destiné à déterminer les parts successorales ou la quotité disponible, pas plus qu'il ne peut servir de base de calcul pour le partage. Cet inventaire n'assume pas d'autre rôle non plus lorsque, en vertu de l'art. 17 al. 3 de la Convention d'établissement et consulaire entre la Suisse et l'Italie de 1868, il y a lieu de faire trancher les contestations successorales en Italie selon le droit italien.</w:t>
      </w:r>
    </w:p>
    <w:p>
      <w:r>
        <w:t>Regesto Effetti di un inventario assicurativo ai sensi dell'art. 553 CC sulla successione di un cittadino italiano con il suo ultimo domicilio in Svizzera; art. 17 cpv. 3 del Trattato di domicilio e consolare tra la Svizzera e l'Italia del 1868. L'inventario ai sensi dell'art. 553 CC persegue unicamente lo scopo di assicurare il patrimonio esistente al momento dell'apertura della successione. Esso non serve al calcolo delle quote ereditarie e della porzione legittima e non può pertanto costituire una base di calcolo per la divisione ereditaria. All'inventario non compete alcun'altra funzione nemmeno qualora debbano essere decise controversie ereditarie in Italia secondo il diritto italiano, giusta l'art. 17 cpv. 3 del Trattato di domicilio e consolare tra la Svizzera e l'Italia del 1868.</w:t>
      </w:r>
    </w:p>
    <w:p>
      <w:pPr>
        <w:pStyle w:val="Heading2"/>
      </w:pPr>
      <w:r>
        <w:t>Erwägungen</w:t>
      </w:r>
    </w:p>
    <w:p>
      <w:r>
        <w:rPr>
          <w:b/>
        </w:rPr>
        <w:t>E. 2</w:t>
      </w:r>
    </w:p>
    <w:p>
      <w:r>
        <w:t>Die Beschwerdeführerin macht schliesslich geltend, es sei nicht möglich, in einem ordentlichen Verfahren in Italien weitere Abklärungen des Nachlasses zu verlangen, weil für das Inventar die schweizerischen Behörden zuständig seien und im materiellen Prozess zwischen den Erben in Italien auf das Erbschaftsinventar abgestellt werde. Es sei deshalb willkürlich, sie für die weiteren Abklärungen des Nachlasses und insbesondere die gegebenenfalls der Herabsetzung oder der Ausgleichung unterliegenden Vermögensverschiebungen auf den ordentlichen Erbschaftsprozess in Italien zu verweisen. Gemäss Art. 17 Abs. 3 des Niederlassungs- und Konsularvertrages zwischen der Schweiz und Italien von 1868 (SR 0.142.114.541) sind für "Streitigkeiten, welche zwischen den Erben eines in der Schweiz verstorbenen Italieners hinsichtlich seines Nachlasses entstehen könnten", die Gerichte am letzten italienischen Wohnort des Erblassers zuständig. Anwendbar ist dabei die lex fori ( BGE 99 II 252 ; ANDREAS BUCHER, Droit international privé suisse, Tome II: Personnes, Famille, Successions, Basel 1992, Rz. 1013). Der Staatsvertrag regelt jedoch die Frage nicht, welche Behörden für die Eröffnung einer entsprechenden Erbschaft im Sinne der sogenannten formellen Nachlassbehandlung, d.h. für Massnahmen zur Sicherung des Nachlasses und des Erbganges und zum Vollzug der Erbfolge zuständig sind ( BGE 99 II 252 ). Diesbezüglich sind die Art. 86 ff. IPRG (SR 291) anwendbar. Die Eröffnung des Nachlasses erfolgt deshalb in der Schweiz, wenn ein Italiener mit Wohnsitz in der Schweiz stirbt. Dabei ist allerdings die Abgrenzung zwischen den materiellen Streitigkeiten und der formellen Nachlassabwicklung in der Lehre wenig geklärt (vgl. HERBERT CHENEVARD, Le régime civil des successions dans les rapports italo-suisses, Diss., Lausanne 1985, S. 69 ff.). Das Bundesgericht hatte sich zu dieser Unterscheidung nur punktuell zu äussern (vgl. BGE 58 I 319 ; BGE 65 I 125 ; BGE 91 III 25 ; BGE 99 II 252 ). Unbestritten ist aber, dass die schweizerischen Wohnsitzbehörden für die Aufnahme des Sicherungsinventars zuständig sind BGE 120 II 293 S. 296 und der Streit um die Frage, ob die Witwe Erbin ist oder nicht, vor den italienischen Behörden ausgetragen werden muss. Entsprechend ist für die Inventaraufnahme ausschliesslich das schweizerische Recht anwendbar. Es kann entgegen der von der Beschwerdeführerin vertretenen Meinung nicht darauf ankommen, welche Bedeutung das italienische Recht einem Inventar zumisst. In dem den vorliegenden Fall betreffenden BGE 118 II 269 f. hielt das Bundesgericht mit aller Deutlichkeit fest, dass das Inventar nach schweizerischem Recht nur die Sicherung des bei Eröffnung des Erbganges vorhandenen Vermögens bezweckt, indem verhindert werden soll, dass Vermögenswerte unbemerkt verschwinden können. Das Sicherungsinventar dient insbesondere nicht der Berechnung der Erbteile und der Pflichtteile und kann nicht Rechnungsgrundlage für die Erbteilung bilden. Es ist ohne weiteres möglich, dass im späteren Verlauf der erbrechtlichen Auseinandersetzung weitere Vermögenswerte zum Vorschein kommen. Diesen Nachforschungen dient aber nicht das Institut des Sicherungsinventars. Von einer willkürlichen Anwendung des schweizerischen Rechts kann somit keine Rede sein und die staatsrechtliche 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