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222</w:t>
      </w:r>
    </w:p>
    <w:p>
      <w:r>
        <w:t>Bundesgericht (BGE), 1980-10-25, FR</w:t>
      </w:r>
    </w:p>
    <w:p>
      <w:r>
        <w:rPr>
          <w:b/>
        </w:rPr>
        <w:t xml:space="preserve">Quelle: </w:t>
      </w:r>
      <w:r>
        <w:t>https://mcp.opencaselaw.ch/entscheid/bge_BGE_120_II_222</w:t>
      </w:r>
    </w:p>
    <w:p>
      <w:r>
        <w:t>FR: ATF 120 II 222</w:t>
      </w:r>
    </w:p>
    <w:p>
      <w:r>
        <w:t>IT: DTF 120 II 222</w:t>
      </w:r>
    </w:p>
    <w:p>
      <w:pPr>
        <w:pStyle w:val="Heading2"/>
      </w:pPr>
      <w:r>
        <w:t>Regeste</w:t>
      </w:r>
    </w:p>
    <w:p>
      <w:r>
        <w:t>Regeste Haager Übereinkommen vom 25. Oktober 1980 über die zivilrechtlichen Aspekte internationaler Kindesentführung (SR 0.211.230.02); Anordnung der sofortigen Rückgabe des Kindes; Natur des Entscheids; Unzulässigkeit der Berufung. Der Richter, der aufgrund des Übereinkommens über die sofortige Rückgabe des Kindes zu entscheiden hat, befindet weder über das Sorgerecht des ersuchenden Elternteils noch über dasjenige des Elternteils, der das Kind "entführt" hat. Der Entscheid wird nicht im Rahmen einer Zivilrechtsstreitigkeit gefällt und kann nicht mit Berufung angefochten werden (E. 2b).</w:t>
      </w:r>
    </w:p>
    <w:p>
      <w:r>
        <w:t>Regeste Convention de la Haye du 25 octobre 1980 sur les aspects civils de l'enlèvement international d'enfants (RS 0.211.230.02); décision ordonnant le retour immédiat de l'enfant; nature de la décision attaquée; irrecevabilité du recours en réforme. Le juge appelé, en application de la Convention, à statuer sur le retour immédiat de l'enfant ne se prononce pas sur le droit de garde du parent requérant ni du parent "ravisseur". Cette décision n'est pas rendue dans le cadre d'une contestation civile et n'est pas susceptible de faire l'objet d'un recours en réforme (consid. 2b).</w:t>
      </w:r>
    </w:p>
    <w:p>
      <w:r>
        <w:t>Regesto Convenzione dell'Aia del 25 ottobre 1980 sugli aspetti civili del rapimento internazionale di minori (RS 0.211.230.02); decisione che ordina il ritorno immediato del minore; natura della decisione impugnata, inammissibilità del ricorso per riforma. Il giudice chiamato, in virtù della Convenzione, a statuire sul ritorno immediato del minore non si pronuncia né sul diritto di custodia del genitore richiedente né su quello del genitore "rapitore". Questa decisione non è emanata nell'ambito di una causa civile e non può essere oggetto di un ricorso per riforma (consid. 2b).</w:t>
      </w:r>
    </w:p>
    <w:p>
      <w:pPr>
        <w:pStyle w:val="Heading2"/>
      </w:pPr>
      <w:r>
        <w:t>Erwägungen</w:t>
      </w:r>
    </w:p>
    <w:p>
      <w:r>
        <w:rPr>
          <w:b/>
        </w:rPr>
        <w:t>E. 2</w:t>
      </w:r>
    </w:p>
    <w:p>
      <w:r>
        <w:t>En l'espèce, la décision de la Justice de paix, confirmée sur recours par la Chambre des tutelles, lève les mesures tendant au retrait du droit de garde de la mère de l'enfant et statue sur le retour de ce dernier dans l'Etat de sa résidence antérieure. a) En tant qu'elle révoque à titre préalable, une mesure provisoire relative au droit de garde, la décision attaquée n'est pas susceptible de recours en réforme. En effet, un prononcé portant sur le droit de garde n'a pas pour objet une contestation civile non pécuniaire BGE 120 II 222 S. 224 (cf. art. 44 let . f OJ, ATF 109 II 388 consid. 1; contra toutefois POUDRET, Commentaire de la loi fédérale d'organisation judiciaire, n. 1.2.26 ad Titre II et n. 2.6 ad art. 44 OJ ). Même si tel était le cas, le recours, dirigé contre décision rendue sur une mesure provisoire, ne serait pas recevable faute de décision finale au sens de l' art. 48 OJ (cf. POUDRET, op.cit., n. 1.1.6 et 1.1.6.1 ad art. 48 OJ ). b) Dans la mesure où la décision de la Chambre des tutelles ordonne le retour de l'enfant, elle n'est pas davantage susceptible de recours en réforme. Le juge, appelé, en application de la Convention, à statuer sur le retour de l'enfant amené ou retenu illicitement dans un Etat autre que celui de sa résidence habituelle, ne se prononce pas, ne serait-ce que provisoirement, sur le droit de garde du parent requérant, ni, par conséquent, sur celui du parent "ravisseur" (cf. art. 19 de la Convention). Il ne fait que constater si les conditions d'application de la Convention sont remplies et ordonne, le cas échéant, le retour immédiat de l'enfant. Les art. 43 ss OJ ne prévoient pas expressément de recours contre les décisions statuant sur le retour de l'enfant au sens de la Convention. Le recours en réforme ne serait dès lors recevable à l'égard de ces décisions que si elles revêtaient le caractère de contestations civiles au sens des art. 44-46 OJ . Par contestation civile, il faut entendre une procédure contradictoire visant à provoquer une décision définitive sur des rapports de droit civil, et cela quelle qu'ait été la procédure, contentieuse ou gracieuse, suivie par l'autorité cantonale, pourvu que les parties au litige se prétendent titulaires de droits privés (cf. ATF 112 II 145 consid. 1, ATF 110 II 9 consid. 1b). "La Convention", indique le Message y relatif du 24 novembre 1982 (FF 1983 I 197 ch. 23), "institue une sorte d'entraide administrative entre les Etats contractants. Elle détermine les cas dans lesquels les autorités judiciaires et administratives devront ordonner le retour de l'enfant". Il en découle que la décision ordonnant le retour n'est pas rendue dans une procédure visant à provoquer une décision définitive sur des rapports de droit civil. La Convention constitue un instrument international visant à faciliter le respect et la mise en oeuvre d'une décision étrangère portant notamment sur le droit de garde, et non pas à modifier une telle décision. Partant, on ne se trouve pas en présence d'une contestation civile et le recours en réforme est irrecevable (dans ce sens, l'irrecevabilité du recours en réforme ayant toutefois été motivée par l'absence de décision finale au sens de l' art. 48 OJ , cf. ATF 114 Ia 200 , p. 204 consid. 2c, et l'arrêt non publié du 30 juillet 1990 en la cause V.-P.).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