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118</w:t>
      </w:r>
    </w:p>
    <w:p>
      <w:r>
        <w:t>Bundesgericht (BGE), 1994-01-01, DE</w:t>
      </w:r>
    </w:p>
    <w:p>
      <w:r>
        <w:rPr>
          <w:b/>
        </w:rPr>
        <w:t xml:space="preserve">Quelle: </w:t>
      </w:r>
      <w:r>
        <w:t>https://mcp.opencaselaw.ch/entscheid/bge_BGE_120_II_118</w:t>
      </w:r>
    </w:p>
    <w:p>
      <w:r>
        <w:t>FR: ATF 120 II 118</w:t>
      </w:r>
    </w:p>
    <w:p>
      <w:r>
        <w:t>IT: DTF 120 II 118</w:t>
      </w:r>
    </w:p>
    <w:p>
      <w:pPr>
        <w:pStyle w:val="Heading2"/>
      </w:pPr>
      <w:r>
        <w:t>Regeste</w:t>
      </w:r>
    </w:p>
    <w:p>
      <w:r>
        <w:t>Regeste Art. 328 Abs. 1 OR. Einsichtsrecht des Arbeitnehmers in seine Personalakte; Anwendbarkeit des Bundesgesetzes über den Datenschutz. Nichtanwendbarkeit des Datenschutzgesetzes im vorliegenden Fall, in dem das angefochtene Urteil vor dessen Inkrafttreten ergangen ist (E. 2). Bejahung eines grundsätzlichen Rechts des Arbeitnehmers auf Einsicht in seine Personalakte. Verneinung eines Einsichtsrechts in bestimmte Urkunden im konkreten Fall (E. 3).</w:t>
      </w:r>
    </w:p>
    <w:p>
      <w:r>
        <w:t>Regeste Art. 328 al. 1 CO. Droit du travailleur de consulter son dossier personnel; application de la loi fédérale sur la protection des données. La loi sur la protection des données n'est, en l'espèce, pas applicable puisque la décision attaquée a été rendue avant son entrée en vigueur (consid. 2). En principe, le travailleur a le droit de consulter son dossier personnel. Droit de consulter certaines pièces nié dans le cas particulier (consid. 3).</w:t>
      </w:r>
    </w:p>
    <w:p>
      <w:r>
        <w:t>Regesto Art. 328 cpv. 1 CO. Diritto del lavoratore di consultare l'incarto personale; applicazione della legge federale sulla protezione dei dati. La legge sulla protezione dei dati non è in caso applicabile, poiché la decisione impugnata è stata resa prima della sua entrata in vigore (consid. 2). Il lavoratore ha di massima il diritto di consultare il proprio incarto personale. Negato in concreto il diritto di accedere a determinati documenti (consid. 3).</w:t>
      </w:r>
    </w:p>
    <w:p>
      <w:pPr>
        <w:pStyle w:val="Heading2"/>
      </w:pPr>
      <w:r>
        <w:t>Erwägungen</w:t>
      </w:r>
    </w:p>
    <w:p>
      <w:r>
        <w:rPr>
          <w:b/>
        </w:rPr>
        <w:t>E. 2</w:t>
      </w:r>
    </w:p>
    <w:p>
      <w:r>
        <w:t>Nachdem das angefochtene Urteil bereits gefällt war, ist am 1. Juli 1993 das Bundesgesetz über den Datenschutz (DSG; SR 235.1) in Kraft getreten. Damit ist eine neue Bestimmung ins Obligationenrecht eingefügt worden (Art. 328b), die vorschreibt, der Arbeitgeber dürfe Daten über den Arbeitnehmer nur bearbeiten, soweit sie dessen Eignung für das Arbeitsverhältnis betreffen oder zur Durchführung des Arbeitsvertrages erforderlich sind. Im übrigen gelten nach diesem Artikel - auch für Arbeitsverhältnisse - die Bestimmungen des DSG. Von Bedeutung wäre im vorliegenden Fall namentlich Art. 8 DSG , welcher das Auskunftsrecht gegenüber dem Inhaber einer Datensammlung regelt. BGE 120 II 118 S. 120 Obschon keine der Parteien sich auf das DSG beruft, ist als Rechtsfrage von Amtes wegen zu prüfen ( Art. 63 Abs. 3 OG ), ob dessen Bestimmungen auf den vorliegenden Fall anwendbar sind. Dagegen spricht zunächst, dass die im Berufungsverfahren vorzubringende Rüge, der kantonale Richter habe mit dem angefochtenen Entscheid Bundesrecht verletzt ( Art. 43 OG ), an sich voraussetzt, dass die angerufene Bestimmung im Zeitpunkt der Fällung des kantonalen Urteils bereits in Kraft war. Das Rechtsmittel der Berufung dient nicht dazu, eine erstmalige Beurteilung des Sachverhalts durch das Bundesgericht nach neuem Recht zu ermöglichen. Vorbehalten bleibt allerdings unter anderem die Prüfung, ob die Prozessvoraussetzungen gegeben sind (vgl. BGE 116 II 209 E. 2b S. 211 ff.). Zudem verpflichtet der bereits erwähnte Grundsatz der Rechtsanwendung von Amtes wegen das Bundesgericht nicht zu untersuchen, ob der streitige Anspruch allenfalls aufgrund neuer gesetzlicher Bestimmungen, die erst nach dem Erlass des angefochtenen Urteils in Kraft getreten sind, als begründet anzusehen ist, wenn die Sachvorbringen im kantonalen Verfahren nicht auf diese Anspruchsgrundlage ausgerichtet waren (vgl. BGE 115 II 464 E. 1 S. 465). Das DSG fällt deshalb für die Beurteilung der vorliegenden Streitsache ausser Betracht. Zum gleichen Ergebnis führen auch die folgenden intertemporalrechtlichen Überlegungen. Dem DSG selbst lässt sich nichts zur Frage entnehmen, ob es auf Fälle wie den vorliegenden anwendbar ist. Es enthält zwar Übergangsbestimmungen (Art. 38), die aber lediglich Sonderfragen betreffen und sich nicht zur allgemeinen Frage der zeitlichen Anwendbarkeit des Gesetzes äussern. Gleich verhält es sich mit der Verordnung zum DSG (VDSG, SR 235.11; vgl. Art. 37 VDSG ). Unter diesen Umständen wird nach der Praxis des Bundesgerichts auf die im Schlusstitel zum ZGB niedergelegten intertemporalrechtlichen Prinzipien zurückgegriffen ( BGE 116 III 120 E. 3a S. 124, BGE 94 II 240 E. 8 S. 245 mit Hinweisen). Abzustellen ist im vorliegenden Fall auf die Grundregel von Art. 1 SchlT ZGB , wonach die rechtlichen Wirkungen von Tatsachen, die sich vor dem Inkrafttreten des neuen Gesetzes ereignet haben, nach bisherigem Recht zu beurteilen sind. Nicht zur Anwendung kommen die davon abweichenden Regeln von Art. 2 - 4 SchlT ZGB , denn deren Voraussetzungen sind nicht gegeben. So fällt Art. 4 SchlT ZGB darum ausser Betracht, weil ein grundsätzliches Einsichtsrecht des Klägers bereits nach bisherigem Recht gegeben ist, wie die folgenden Erwägungen zeigen werden. Dieser Gesichtspunkt ist sodann auch in bezug auf Art. 2 und 3 SchlT ZGB von entscheidender Bedeutung. BGE 120 II 118 S. 121 Da Art. 328 Abs. 1 OR , aus dem das Einsichtsrecht in die Personalakte abgeleitet wird, schon nach bisherigem Recht zwingenden Charakter hat ( Art. 362 OR ) und dieses Einsichtsrecht inhaltlich im wesentlichen dem Auskunftsrecht gemäss Art. 8 f. DSG entspricht, drängt es sich nicht auf, gestützt auf Art. 2 oder 3 SchlT ZGB von einer Rückwirkung des neuen Rechtes auszugehen (vgl. dazu BGE 119 II 46 ff.; zum Verhältnis zwischen Art. 2 und 3 SchlT ZGB : BROGGINI, SPR, Bd. I, S. 447 ff.).</w:t>
      </w:r>
    </w:p>
    <w:p>
      <w:r>
        <w:rPr>
          <w:b/>
        </w:rPr>
        <w:t>E. 3</w:t>
      </w:r>
    </w:p>
    <w:p>
      <w:r>
        <w:t>Das Obergericht hat die Klage im wesentlichen mit der Begründung abgewiesen, einerseits gehörten die streitigen Unterlagen nicht zur Personalakte des Klägers und andererseits liege von seiner Seite kein berechtigtes Interesse vor, das nach Beendigung des Arbeitsverhältnisses ein Einsichtsrecht rechtfertigen würde. Mit der Berufung wird der Vorinstanz in beiden Punkten eine Verletzung von Bundesrecht vorgeworfen. a) Das Recht des Arbeitnehmers auf Einsicht in seine Personalakte ist im Obligationenrecht nicht ausdrücklich verankert. In Übereinstimmung mit der überwiegenden Meinung in der Lehre ist ein solches Recht jedoch als Ausfluss des Persönlichkeitsschutzes des Arbeitnehmers ( Art. 328 Abs. 1 OR ) anzuerkennen (so REHBINDER, Berner Kommentar, N. 16 zu Art. 328 OR ; STREIFF/VON KAENEL, Leitfaden zum Arbeitsvertragsrecht, 5. Aufl., N. 9 zu Art. 328 OR ; BRUNNER/BÜHLER/WAEBER, Kommentar zum Arbeitsvertrag, N. 6 zu Art. 328 OR ; BERNHARD FREI, Der Persönlichkeitsschutz des Arbeitnehmers nach OR Art. 328 Abs. 1. Unter besonderer Berücksichtigung des Personaldatenschutzes, Diss. Bern 1981, S. 145 ff.; ROLF HUBER, Rechtsprobleme der Personalakte, Diss. Zürich 1984, S. 147 ff.; a.A. BRAND ET AL., Der Einzelarbeitsvertrag im Obligationenrecht, N. 9 zu Art. 328 OR ). Das Einsichtsrecht ist als Teil des informationellen Selbstbestimmungsrechtes zu verstehen (ROLF HUBER, a.a.O., S. 40; TERCIER, Le nouveau droit de la personnalité, S. 67 Rz. 460), das auch der Datenschutzgesetzgebung des Bundes zugrundeliegt (vgl. Botschaft des Bundesrates zum DSG, BBl 1988 II S. 417 ff.). Die Bejahung des Rechts des Klägers auf Einsicht in seine Personalakte liegt auch dem angefochtenen Urteil zugrunde. Das Obergericht hat seine Entscheidung indessen auf die Frage beschränkt, ob das Einsichtsrecht auch die Urkunden umfasse, welche der Kläger mit seinem Rechtsbegehren umschreibt. Diese Einschränkung wird mit der Berufung nicht beanstandet. Das wäre im übrigen gemäss Art. 55 Abs. 1 lit. b OG unzulässig, da BGE 120 II 118 S. 122 grundsätzlich das kantonale Recht darüber bestimmt, ob ein allgemein formuliertes Rechtsbegehren um Einsicht in die Personalakte zulässig ist oder die Urkunden, in welche der Arbeitnehmer Einsicht nehmen will, im einzelnen bezeichnet werden müssen (vgl. dazu BGE 116 II 215 E. 4 S. 219). Demgemäss beschränkt sich auch das Verfahren vor Bundesgericht auf die vorinstanzlich geprüfte Frage. b) Der Kläger hält an seiner Auffassung fest, dass die streitigen Urkunden zu seiner Personalakte gehörten. Dies ist vom Obergericht mit der Begründung verneint worden, die Urkunden oder Unterlagen seien im Zusammenhang mit einer weitläufigen Untersuchung bestimmter Geschäftsvorgänge erstellt worden und spielten nach der vom Kläger sinngemäss anerkannten Behauptung der Beklagten beim Entscheid darüber, ob die fristlose Auflösung des Arbeitsverhältnisses ungerechtfertigt erfolgt sei, keine Rolle. In diesem Zusammenhang wird im angefochtenen Urteil zudem festgehalten, soweit die streitigen Urkunden nach dem 23. Oktober 1987 verfasst worden seien, hätten sie ohnehin nicht Grundlage des Entlassungsentscheides bilden können. Die Beurteilung des Obergerichts ist nicht zu beanstanden. Der Begriff der Personalakte wird im Obligationenrecht weder verwendet noch umschrieben. Das Einsichtsrecht des Arbeitnehmers wird - wie bereits erwähnt - von der Lehre zu Recht aus dem Persönlichkeitsschutz abgeleitet. Dieser Zusammenhang muss auch bei der Umschreibung des Begriffs der Personalakte wegleitend sein. Abzustellen ist deshalb auf den Persönlichkeitsschutz als konkretisierungsbedürftige Generalklausel. Untauglich ist demgegenüber der Ansatz, der sich zuerst an der Anerkennung eines allgemeinen Einsichtsrechts in die Personalakte orientiert, dann den Begriff der Personalakte definiert und so das Einsichtsrechts des Arbeitnehmers in eine bestimmte Urkunde ableiten will. Stattdessen ist vielmehr direkt zu prüfen, ob der Persönlichkeitsschutz des Arbeitnehmers ein Recht auf Einsicht in ein bestimmtes Dokument oder in bestimmte Arten von Urkunden verleiht. In diesem Zusammenhang ist zunächst festzuhalten, dass in der Berufungsschrift nicht näher ausgeführt wird, weshalb es für den Schutz der Persönlichkeit des Klägers erforderlich sein soll, Einsicht in die streitigen Urkunden zu erhalten. Die Protokolle, die über seine Befragung vom 20. bis 23. Oktober 1987 angefertigt worden sind, hat er unstreitig einsehen können. Sie befinden sich nebst dem Grossteil der darin erwähnten Urkunden bei den Akten des noch hängigen Prozesses betreffend fristlose Auflösung des Arbeitsverhältnisses, wie im angefochtenen Urteil BGE 120 II 118 S. 123 festgestellt wird. Weder aus dem allgemeinen Persönlichkeitsschutz noch aus Art. 328 Abs. 1 OR lässt sich jedoch ableiten, dass ein Arbeitnehmer Anspruch hat auf Einsicht in sämtliche Unterlagen über eine vom Arbeitgeber veranlasste bzw. durchgeführte Untersuchung von Geschäftsvorgängen, an denen er auf irgendeine Weise beteiligt war. Das Einsichtsrecht in die Personalakte hat wie das Auskunftsrecht gemäss Art. 8 DSG instrumentalen Charakter (vgl. BBl 1988 II 452; zum Akteneinsichtsrecht allgemein: BGE 113 Ia 257 E. 4c S. 264). Es soll dem Betroffenen die Möglichkeit geben, sich zu vergewissern, ob in seiner Personalakte Angaben vorhanden sind, die seine Persönlichkeitsrechte verletzen, weil sie falsch sind oder keinen Bezug zum Arbeitsverhältnis haben. Eine solche Bedeutung der streitigen Urkunden wird vom Kläger jedoch gerade nicht geltend gemacht. Seine Behauptung, er kenne den Inhalt der Dokumente nicht und wisse nicht, was darin über seine Person enthalten sei, kann unter den gegebenen Umständen nicht genügen, um ihm ein Einsichtsrecht zu verschaffen. Aus der Umschreibung der Art der Dokumente geht hervor, dass sie nicht Angaben zur Person des Klägers, sondern Äusserungen über bestimmte Geschäftsvorgänge während seiner Anstellungszeit enthalten müssen. Im angefochtenen Urteil wird im übrigen darauf hingewiesen, der Kläger habe in seinen Rechtsschriften selbst anerkannt, dass das weitere Aktenmaterial ihn nicht belasten könne. Soweit er aber in den Dokumenten entlastende Sachverhaltselemente vermutet, ist es unwahrscheinlich, dass diese seine Persönlichkeitsrechte verletzen können. Besondere Umstände, die ausnahmsweise aufgrund von Art. 328 Abs. 1 OR eine Handlungspflicht des Arbeitgebers zugunsten des Arbeitnehmers begründen könnten (dazu REHBINDER, N. 2 zu Art. 328 OR ), werden schliesslich vom Kläger nicht geltend gemacht und sind auch nicht ersichtlich. c) Aus der vorangehenden Erwägung ergibt sich ohne weiteres, dass auch die zweite vom Kläger erhobene Rüge unbegründet ist. Denn besteht bereits wegen der Art der streitigen Dokumente kein aus dem Persönlichkeitsschutz ableitbares Einsichtsrecht des Klägers, so muss das unabhängig vom Zeitpunkt gelten, in dem die Einsicht verlangt wird. Die vom Obergericht bejahte Frage, ob nach Beendigung des Arbeitsverhältnisses ein Einsichtsrecht nur dann zu gewähren ist, wenn der ehemalige Arbeitnehmer ein berechtigtes Interesse an der Einsicht hat, ist deshalb an sich nicht entscheiderheblich. Es rechtfertigt sich aber trotzdem, kurz dazu Stellung zu nehmen. BGE 120 II 118 S. 124 Soweit ein behauptetes Einsichtsrecht nur aus dem Persönlichkeitsschutz und nicht aus einer besonderen Bestimmung abgeleitet wird, die einen unbedingten Anspruch auf Einsicht gibt, wird immer ein Interesse an der Einsichtnahme vorausgesetzt, das gegen die Interessen abgewogen werden muss, die von seiten anderer an der Verweigerung der Einsicht bestehen (vgl. dazu HUBER, a.a.O., S. 40; zur Akteneinsicht gegenüber dem Staat: BGE 113 Ia 1 E. 4a S. 4, 257 E. 4a S. 261 f.). So kann beispielsweise zur Befriedigung blosser Neugier keine Akteneinsicht verlangt werden. Zudem findet das Persönlichkeitsrecht des Gesuchstellers stets seine Schranke an den Persönlichkeitsrechten anderer Beteiligter. Zu Recht verlangt deshalb die Lehre insbesondere für die Einsicht in die Personalakte nach Beendigung des Arbeitsverhältnisses ein berechtigtes Interesse des ehemaligen Arbeitnehmers (REHBINDER, N. 16 zu Art. 328 OR ; HUBER, a.a.O., S. 166). Wie bereits festgehalten wurde, sind die streitigen Urkunden indessen nach den Feststellungen der Vorinstanz nicht geeignet, den Standpunkt des Klägers in den beiden anderen Prozessen zu stützen. Mangels tatsächlicher Feststellungen ist schliesslich auch die Behauptung des Klägers unbeachtlich, bei den streitigen Urkunden befänden sich Niederschriften von eigenen Telefongesprächen, welche die Beklagte habe abhören lassen. Das Obergericht hat somit zu Recht auch ein schutzwürdiges Interesse des Klägers an der Einsicht in die streitigen Urkunden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