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92</w:t>
      </w:r>
    </w:p>
    <w:p>
      <w:r>
        <w:t>Bundesgericht (BGE), 1988-09-16, DE</w:t>
      </w:r>
    </w:p>
    <w:p>
      <w:r>
        <w:rPr>
          <w:b/>
        </w:rPr>
        <w:t xml:space="preserve">Quelle: </w:t>
      </w:r>
      <w:r>
        <w:t>https://mcp.opencaselaw.ch/entscheid/bge_BGE_120_III_92</w:t>
      </w:r>
    </w:p>
    <w:p>
      <w:r>
        <w:t>FR: ATF 120 III 92</w:t>
      </w:r>
    </w:p>
    <w:p>
      <w:r>
        <w:t>IT: DTF 120 III 92</w:t>
      </w:r>
    </w:p>
    <w:p>
      <w:pPr>
        <w:pStyle w:val="Heading2"/>
      </w:pPr>
      <w:r>
        <w:t>Regeste</w:t>
      </w:r>
    </w:p>
    <w:p>
      <w:r>
        <w:t>Regeste Arrestbetreibung (Art. 278 Abs. 1 SchKG); Lugano-Übereinkommen vom 16. September 1988 über die gerichtliche Zuständigkeit und die Vollstreckung gerichtlicher Entscheidungen in Zivil- und Handelssachen (SR 0.275.11). Die Einleitung der Betreibung (Ausstellung des Zahlungsbefehls) am Arrestort verstösst nicht gegen das Lugano-Übereinkommen.</w:t>
      </w:r>
    </w:p>
    <w:p>
      <w:r>
        <w:t>Regeste Poursuite en validation de séquestre (art. 278 al. 1 LP); Convention de Lugano concernant la compétence judiciaire et l'exécution des décisions en matière civile et commerciale du 16 septembre 1988 (RS 0.275.11). L'introduction d'une poursuite (notification du commandement de payer) au for du séquestre ne viole pas la Convention de Lugano.</w:t>
      </w:r>
    </w:p>
    <w:p>
      <w:r>
        <w:t>Regesto Esecuzione in convalida del sequestro (art. 278 cpv. 1 LEF); Convenzione di Lugano concernente la competenza giurisdizionale e l'esecuzione delle decisioni in materia civile e commerciale del 16 settembre 1988 (RS 0.275.11). L'avvio di un'esecuzione (notifica del precetto esecutivo) al foro del sequestro non viola la Convenzione di Lugano.</w:t>
      </w:r>
    </w:p>
    <w:p>
      <w:pPr>
        <w:pStyle w:val="Heading2"/>
      </w:pPr>
      <w:r>
        <w:t>Erwägungen</w:t>
      </w:r>
    </w:p>
    <w:p>
      <w:r>
        <w:rPr>
          <w:b/>
        </w:rPr>
        <w:t>E. 4</w:t>
      </w:r>
    </w:p>
    <w:p>
      <w:r>
        <w:t>a) Sodann ist die Rekurrentin - hauptsächlich unter Berufung auf WALTER A. STOFFEL (Ausschliessliche Gerichtsstände des Lugano-Übereinkommens und SchKG-Verfahren, insbesondere Rechtsöffnung, Widerspruchsklage und Arrest, in: Beiträge zum schweizerischen und internationalen Zivilprozessrecht, Festschrift für Oskar Vogel, Freiburg 1991, S. 357 ff.) - der Ansicht, die am Ort des Arrestes zu dessen Prosequierung eingeleitete Betreibung sei nichtig zu erklären, jedenfalls aber aufzuheben, weil sie gegen das Lugano-Übereinkommen verstosse. Danach seien sogenannte exorbitante Gerichtsstände, zu denen gemäss Art. 3 Abs. 2 LugÜ für die Schweiz ausdrücklich der Gerichtsstand des Arrestortes gehöre, ausgeschlossen. Unter dem Lugano-Übereinkommen vermöge der Arrestort mit andern Worten keinen Prosequierungsgerichtsstand mehr zu begründen; der Arrest könne am betreffenden Ort nur noch dann prosequiert werden, wenn sich dort zufällig ein anderer - zulässiger - Gerichtsstand befinde. b) Diese Vorbringen sind unbegründet. Die Rekurrentin verkennt, dass der von ihr angerufene Autor davon ausgeht, dass auch in Fällen, wo am Arrestort nicht zugleich ein Gerichtsstand gemäss Lugano-Übereinkommen besteht, am erwähnten Ort ein Zahlungsbefehl zur Aufrechterhaltung des Arrestes erlassen werden darf. Zwar ergibt sich dieser Schluss nicht direkt aus der Qualifizierung des Zahlungsbefehls als Instrument der Zwangsvollstreckung, um welche es (noch) nicht geht; die Prosequierung durch Zahlungsbefehl ist jedoch als Bestandteil eines Verfahrens um einstweiligen Rechtsschutz zu verstehen, wofür Art. 24 LugÜ ausdrücklich einen Vorbehalt zu Gunsten des betreffenden Staates enthält (STOFFEL, a.a.O. S. 393). Der Erlass eines Zahlungsbefehls am Arrestort ist auch nach BGE 120 III 92 S. 94 ISAAK MEIER nicht schlechthin ausgeschlossen, doch vertritt dieser Autor die Auffassung, dass, sofern noch nicht geschehen, zuvor bei dem nach Lugano-Übereinkommen zuständigen Richter ein Entscheid über die Forderung erwirkt werden müsse (Besondere Vollstreckungstitel nach dem Lugano-Übereinkommen, in: IVO SCHWANDER [Hrsg.], Das Lugano-Übereinkommen, St. Galler Studien zum internationalen Recht, St. Gallen 1990, S. 208 f.). AMONN hält seinerseits dafür, dass nicht nur die Prosequierungsbetreibung am Arrestort durchgeführt werden dürfe, sondern auch das Rechtsöffnungsverfahren (vgl. Grundriss des Schuldbetreibungs- und Konkursrechts, 5. A., § 51 Rz. 85a). c) Die blosse Ausstellung des Zahlungsbefehls zur Aufrechterhaltung des Arrestes im Sinne von Art. 278 SchKG verstösst insofern nicht gegen das Lugano-Übereinkommen, als sich daraus nicht zwingend die örtliche Zuständigkeit des Richters ergibt, der über den Bestand der Arrest- bzw. Betreibungsforderung zu befinden hat. Der Rekurs ist mithin auch in diesem Punkt abzuweisen. Ob der Auffassung von AMONN bezüglich des Gerichtsstandes für die Rechtsöffnung beigepflichtet werden kann, ist eine Frage, die nicht in die Zuständigkeit der erkennenden Kammer fällt. Im übrigen ist sie im vorliegenden Fall gegenstandslos, da der Rekursgegner mit Eingabe vom 23. Oktober 1992 gestützt auf eine entsprechende Gerichtsstandsklausel beim Richteramt A., d.h. am Ort seines Wohnsitzes, gegen die Rekurrentin Klage erhoben hat unter anderem mit dem Antrag, es seien die Arreste, die er auf verschiedenen Guthaben der Rekurrentin aus von ihm für sie getätigten Kaufabschlüssen gegenüber Kunden erwirkt habe, zu prosequieren, soweit die Rekurrentin in den betreffenden Arrestbetreibungen Rechtsvorschlag erhoben habe bzw. noch erheben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