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III 9</w:t>
      </w:r>
    </w:p>
    <w:p>
      <w:r>
        <w:t>Bundesgericht (BGE), 1994-01-01, DE</w:t>
      </w:r>
    </w:p>
    <w:p>
      <w:r>
        <w:rPr>
          <w:b/>
        </w:rPr>
        <w:t xml:space="preserve">Quelle: </w:t>
      </w:r>
      <w:r>
        <w:t>https://mcp.opencaselaw.ch/entscheid/bge_BGE_120_III_9</w:t>
      </w:r>
    </w:p>
    <w:p>
      <w:r>
        <w:t>FR: ATF 120 III 9</w:t>
      </w:r>
    </w:p>
    <w:p>
      <w:r>
        <w:t>IT: DTF 120 III 9</w:t>
      </w:r>
    </w:p>
    <w:p>
      <w:pPr>
        <w:pStyle w:val="Heading2"/>
      </w:pPr>
      <w:r>
        <w:t>Regeste</w:t>
      </w:r>
    </w:p>
    <w:p>
      <w:r>
        <w:t>Regeste Ausstellung des Zahlungsbefehls in den Betreibungsferien (Art. 69 SchKG und 56 SchKG). Die Ausstellung des Zahlungsbefehls bringt den Betreibenden seinem Ziel (noch) nicht näher und greift in die Rechtsstellung des Betriebenen nicht ein, weshalb sie nicht zu jenen Betreibungshandlungen gehört, die in den Betreibungsferien nicht vorgenommen werden dürfen.</w:t>
      </w:r>
    </w:p>
    <w:p>
      <w:r>
        <w:t>Regeste Etablissement du commandement de payer pendant les féries de poursuite (art. 69 et 56 LP). L'établissement du commandement de payer ne tend pas (encore) à introduire ou à continuer la procédure en vue de satisfaire le créancier et ne porte pas atteinte à la situation juridique du débiteur; il ne fait dès lors pas partie des actes de poursuite qui ne peuvent être accomplis pendant les féries.</w:t>
      </w:r>
    </w:p>
    <w:p>
      <w:r>
        <w:t>Regesto Emissione di un precetto esecutivo durante le ferie esecutive (art. 69 LEF e 56 LEF). L'emissione del precetto esecutivo non avvicina (ancora) il creditore procedente al proprio fine e non tocca la posizione giuridica dell'escusso, motivo per cui non fa parte di quegli atti esecutivi che non possono essere eseguiti durante le ferie esecutive.</w:t>
      </w:r>
    </w:p>
    <w:p>
      <w:pPr>
        <w:pStyle w:val="Heading2"/>
      </w:pPr>
      <w:r>
        <w:t>Erwägungen</w:t>
      </w:r>
    </w:p>
    <w:p>
      <w:r>
        <w:rPr>
          <w:b/>
        </w:rPr>
        <w:t>E. 1</w:t>
      </w:r>
    </w:p>
    <w:p>
      <w:r>
        <w:t>Die Rekurrentin betrachtet die Ausstellung eines Zahlungsbefehls als Betreibungshandlung, welche in den Betreibungsferien nicht ausgeführt werden dürfe. Das Betreibungsamt erlässt nach Empfang des Betreibungsbegehrens den Zahlungsbefehl mit den vom Gesetz vorgesehenen Angaben ( Art. 69 SchKG ). Die Abfassung des Zahlungsbefehls ist zwar eine Amtshandlung der hiefür zuständigen Behörde, bringt jedoch den Betreibenden seinem Ziel (noch) nicht näher und greift in die Rechtsstellung des Betriebenen nicht ein. Das Ziel des Gesetzgebers, den Schuldner zu gewissen Zeiten dem Drängen seiner Gläubiger nicht auszusetzen, wird dadurch nicht in Frage gestellt. Der Erlass des Zahlungsbefehls gehört somit nicht zu jenen von der Rechtsprechung als Betreibungshandlung verstandenen Tätigkeiten, die während den Betreibungsferien untersagt sind ( Art. 56 SchKG ; BGE 117 III 4 E. 3 S. 5; BGE 115 III 11 E. 1b S. 14). BGE 120 III 9 S. 11 Die Schuldbetreibung beginnt erst mit der Zustellung des Zahlungsbefehls ( Art. 38 Abs. 2 SchKG ). Nun wird der Betriebene zur Zahlung aufgefordert und auf die Möglichkeit des Rechtsvorschlags sowie die allfällige Fortsetzung der Betreibung hingewiesen ( Art. 69 Abs. 1 Ziff. 2-4 SchKG ). Im weitern sieht das Gesetz gegen den Zahlungsbefehl eine Beschwerde an die Aufsichtsbehörde vor ( Art. 17 SchKG ). Dass das Betreibungsamt den Zahlungsbefehl in den Betreibungsferien ( Art. 56 SchKG ) ausgestellt hat, genügt somit nicht, ihn aufzuheben. Daran ändert auch die Berufung der Rekurrentin auf AMONN (Grundriss des Schuldbetreibungs- und Konkursrechts, 5. A. Bern 1993, S. 98 N. 27) nichts, der an dieser Stelle nicht zwischen dem Erlass und der Zustellung des Zahlungsbefehls unterscheidet.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