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83</w:t>
      </w:r>
    </w:p>
    <w:p>
      <w:r>
        <w:t>Bundesgericht (BGE), 1994-01-01, FR</w:t>
      </w:r>
    </w:p>
    <w:p>
      <w:r>
        <w:rPr>
          <w:b/>
        </w:rPr>
        <w:t xml:space="preserve">Quelle: </w:t>
      </w:r>
      <w:r>
        <w:t>https://mcp.opencaselaw.ch/entscheid/bge_BGE_120_III_83</w:t>
      </w:r>
    </w:p>
    <w:p>
      <w:r>
        <w:t>FR: ATF 120 III 83</w:t>
      </w:r>
    </w:p>
    <w:p>
      <w:r>
        <w:t>IT: DTF 120 III 83</w:t>
      </w:r>
    </w:p>
    <w:p>
      <w:pPr>
        <w:pStyle w:val="Heading2"/>
      </w:pPr>
      <w:r>
        <w:t>Regeste</w:t>
      </w:r>
    </w:p>
    <w:p>
      <w:r>
        <w:t>Regeste Widerspruchsverfahren (Art. 107 Abs. 1 und 109 SchKG). Verteilung der Parteirollen, wenn sich die Sache - vorliegend eine gewöhnliche Forderung - weder im Gewahrsam des Schuldners noch in dem des Drittansprechers, sondern in jenem eines Vierten befindet (E. 3a). Befugnisse des Betreibungsamtes in Anwendung der Art. 106 ff. SchKG (E. 3b).</w:t>
      </w:r>
    </w:p>
    <w:p>
      <w:r>
        <w:t>Regeste Procédure de revendication (art. 107 al. 1 et 109 LP). Détermination du rôle des parties lorsque le bien revendiqué - en l'occurrence une créance ordinaire - ne se trouve en la possession ni du débiteur ni du tiers revendiquant, mais en celle d'une quatrième personne, le quart détenteur (consid. 3a). Compétences de l'office dans l'application des art. 106 ss LP (consid. 3b).</w:t>
      </w:r>
    </w:p>
    <w:p>
      <w:r>
        <w:t>Regesto Procedura di rivendicazione (art. 107 cpv. 1 e 109 LEF). Ruolo delle parti nel caso in cui l'oggetto rivendicato - nella fattispecie un credito ordinario - non si trova in possesso né del debitore né del terzo rivendicante, ma bensì in quello di una quarta persona (consid. 3a). Competenze dell'ufficio in applicazione degli art. 106 segg. LEF (consid. 3b).</w:t>
      </w:r>
    </w:p>
    <w:p>
      <w:pPr>
        <w:pStyle w:val="Heading2"/>
      </w:pPr>
      <w:r>
        <w:t>Erwägungen</w:t>
      </w:r>
    </w:p>
    <w:p>
      <w:r>
        <w:rPr>
          <w:b/>
        </w:rPr>
        <w:t>E. 3</w:t>
      </w:r>
    </w:p>
    <w:p>
      <w:r>
        <w:t>a) En vertu des art. 106 ss LP , qui s'appliquent aux cas de séquestre ( art. 275 LP ), lorsqu'un tiers revendique un droit de propriété ou de gage BGE 120 III 83 S. 85 sur l'objet saisi ou séquestré, et que sa revendication est contestée par le créancier ou le débiteur, l'office des poursuites doit impartir au tiers ou au créancier un délai de dix jours pour intenter action. Si le bien en question se trouve en la possession du débiteur, le délai pour agir doit être imparti au tiers (art. 106 et 107 al. 1); s'il est en la possession du tiers revendiquant, le délai doit être imparti au créancier (art. 109). 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(GILLIÉRON, Poursuite pour dettes, faillite et concordat, 3e éd., Lausanne 1993, p. 211 et les références; FRITZSCHE/WALDER, Schuldbetreibung und Konkurs nach schweizerischem Recht, vol. I, 3e éd., Zurich 1984, § 26 n. 7). Si le bien visé est une créance ordinaire, c'est-à-dire non incorporée dans un papier-valeur, le possesseur est celui qui - du débiteur poursuivi ou du tiers revendiquant - a, selon la plus grande vraisemblance, la qualité de créancier ou est le mieux à même de disposer de la créance ou de l'exercer ( ATF 116 III 82 consid. 2 p. 83 et arrêts cités; GILLIÉRON, op.cit., p. 211/212; AMONN, Grundriss des Schuldbetreibungs- und Konkursrechts, 5e éd., Berne 1993, § 24 n. 33). b) Dans l'application des art. 106 ss LP , l'office s'en tient aux déclarations du débiteur ou du tiers revendiquant et n'a pas à vérifier le bien-fondé de la revendication; il doit uniquement trancher la question de savoir qui peut disposer matériellement de la chose, sans avoir à se demander si l'état de fait est ou non conforme au droit ( ATF 116 III 82 consid. 3 p. 84, ATF 88 III 55 ss, ATF 87 III 11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