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67</w:t>
      </w:r>
    </w:p>
    <w:p>
      <w:r>
        <w:t>Bundesgericht (BGE), 1994-01-01, FR</w:t>
      </w:r>
    </w:p>
    <w:p>
      <w:r>
        <w:rPr>
          <w:b/>
        </w:rPr>
        <w:t xml:space="preserve">Quelle: </w:t>
      </w:r>
      <w:r>
        <w:t>https://mcp.opencaselaw.ch/entscheid/bge_BGE_120_III_67</w:t>
      </w:r>
    </w:p>
    <w:p>
      <w:r>
        <w:t>FR: ATF 120 III 67</w:t>
      </w:r>
    </w:p>
    <w:p>
      <w:r>
        <w:t>IT: DTF 120 III 67</w:t>
      </w:r>
    </w:p>
    <w:p>
      <w:pPr>
        <w:pStyle w:val="Heading2"/>
      </w:pPr>
      <w:r>
        <w:t>Regeste</w:t>
      </w:r>
    </w:p>
    <w:p>
      <w:r>
        <w:t>Regeste Verhältnis zwischen der Pfändung des Schuldbetreibungsrechts (Art. 88 ff. SchKG) und der Verfügungsbeschränkung gemäss Art. 145 und 178 ZGB. Die privatrechtliche Regelung tritt nicht an die Stelle des Schuldbetreibungsrechts. Die Beschränkung der Verfügungsbefugnis gemäss Art. 145 oder 178 ZGB hat lediglich zur Folge, dass da Zwangsverwertungsverfahren vorübergehend sistiert oder dass seine Einleitung aufgeschoben wird, bis das Sachurteil rechtskräftig und vollstreckbar geworden ist, führt aber nicht zu einer Begünstigung innerhalb des Zwangsverwertungsverfahrens (E. 2).</w:t>
      </w:r>
    </w:p>
    <w:p>
      <w:r>
        <w:t>Regeste Rapport entre la saisie du droit de la poursuite (art. 88 ss LP) et la saisie conservatoire provisionnelle ordonnée sur la base des art. 145 et 178 CC. La réglementation du droit civil ne se substitue pas à celle du droit de la poursuite. La restriction du pouvoir de disposition ordonnée en vertu des art. 145 ou 178 CC a simplement pour effet de suspendre provisoirement le déroulement de la procédure d'exécution forcée, ou de reporter son ouverture, jusqu'au prononcé définitif et exécutoire du jugement au fond; elle ne confère à son bénéficiaire aucun privilège particulier sur le plan de l'exécution forcée (consid. 2).</w:t>
      </w:r>
    </w:p>
    <w:p>
      <w:r>
        <w:t>Regesto Rapporto fra il pignoramento del diritto esecutivo (art. 88 segg. LEF) e la restrizione del potere di disporre ordinata sulla base degli art. 145 e 178 LEF. La regolamentazione del diritto civile non si sostituisce a quella del diritto di esecuzione. La restrizione del potere di disporre ordinata in virtù degli art. 145 o 178 CC sospende solo provvisoriamente il corso dell'esecuzione forzata, o ne riporta l'inizio, fino a pronuncia definitiva ed esecutiva del giudizio di merito, ma non conferisce nessun privilegio particolare nell'ambito dell'esecuzione forzata (consid. 2).</w:t>
      </w:r>
    </w:p>
    <w:p>
      <w:pPr>
        <w:pStyle w:val="Heading2"/>
      </w:pPr>
      <w:r>
        <w:t>Erwägungen</w:t>
      </w:r>
    </w:p>
    <w:p>
      <w:r>
        <w:rPr>
          <w:b/>
        </w:rPr>
        <w:t>E. 2</w:t>
      </w:r>
    </w:p>
    <w:p>
      <w:r>
        <w:t>La recourante fait valoir en substance que les dispositions de la loi sur la poursuite en matière de saisie doivent céder le pas à la réglementation plus récente et spéciale de l' art. 178 CC . En méconnaissant la portée des mesures conservatoires provisionnelles, "validées par un jugement de liquidation du régime matrimonial", et en admettant la saisie par l'office des poursuites de biens préalablement saisis par le juge civil, l'autorité cantonale de surveillance aurait ainsi violé l' art. 95 al. 3 LP . a) L' art. 178 CC prévoit que le juge (civil) peut, à la requête de l'un des époux, restreindre le pouvoir de l'autre de disposer de certains de ses biens sans le consentement de son conjoint.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(Message du 11 juillet 1979 concernant la révision du Code civil suisse, FF 1979 II 1264). L' art. 178 CC s'applique aussi, par analogie, dans une procédure de divorce ou de séparation de corps en cas de mesures provisoires au sens de l' art. 145 CC ( ATF 118 II 378 consid. 3b p. 380). La durée de validité d'une mesure telle que la restriction du pouvoir de disposer est limitée, à cause du caractère nécessairement provisoire d'une mesure protectrice de ce type (Message, FF 1979 II 1264; PETITPIERRE/DE MONTMOLLIN/GUINAND/HAUSHEER, Mariage: effets généraux, La protection de l'union conjugale, FJS 106 ch. II C 2d, D 3 et E). De manière générale, une mesure judiciaire est caduque de plein droit à l'expiration du temps pour lequel elle a été ordonnée (DESCHENAUX/STEINAUER, Le nouveau droit matrimonial, Berne 1987, p. 153). b) Si certains auteurs sont d'avis que la réglementation de la loi sur la poursuite doit céder le pas à celle plus récente et spéciale du Code civil (cf. notamment BÜHLER/SPÜHLER, Berner Kommentar, n. 344 et 374 ad art. 145 CC ; SPÜHLER, Ergänzungsband, n. 344 ad art. 145 CC ; HASENBÖHLER, Verfügungsbeschränkungen zum Schutze eines Ehegatten, BJM 1986 p. 91), d'autres estiment en revanche que les biens frappés d'indisponibilité par une mesure telle que celles prévues par l' art. 178 CC ne peuvent être soustraits à une exécution forcée (cf. notamment HAUSHEER/REUSSER/GEISER, Kommentar zum Eherecht, n. 15 ad art. 178 CC ; HENRI-ROBERT SCHÜPBACH, BGE 120 III 67 S. 70 L'exécution forcée menée par un tiers contre un conjoint à raison d'une obligation patrimoniale, in Mélanges Pierre Engel, Lausanne 1989, p. 335; DESCHENAUX/STEINAUER, op.cit., p. 151; VINCENT PELET, Mesures provisionnelles: droit fédéral ou cantonal?, Lausanne 1987, n. 276 et 299). A vrai dire, la réglementation du droit civil ne se substitue pas à celle du droit de la poursuite et le principe demeure que l'exécution forcée ayant pour objet une somme d'argent ou des sûretés à fournir s'opère exclusivement par la poursuite pour dettes ( art. 38 al. 1 LP ). La restriction du pouvoir de disposition ordonnée en vertu des art. 145 ou 178 CC a simplement pour effet de suspendre provisoirement le déroulement de la procédure d'exécution forcée, ou de reporter son ouverture, jusqu'au prononcé définitif et exécutoire du jugement au fond ( ATF 108 II 509 consid. 8b p. 515); elle ne confère à son bénéficiaire, à part l'assurance d'être protégé contre le risque d'opérations menaçant le "maintien des conditions matérielles de la famille ou l'exécution d'obligations pécuniaires découlant du mariage", aucun privilège particulier sur le plan de l'exécution forcée. Ainsi que DESCHENAUX l'a exprimé à propos du blocage du registre foncier, alors prévu par les lois de procédure civile cantonale (Le registre foncier, Traité de droit privé suisse, vol. V II, 2, §19 IV 3 n. 74), une telle mesure "immobilise" les valeurs sur lesquelles les droits d'exécution du bénéficiaire pourront s'exercer; mais au moment où cette possibilité s'ouvre pour celui-ci, les autres créanciers concourront avec lui sur ces valeurs bloquées, conformément aux règles ordinaires de la collocation des créances. c) La décision attaquée, qui se fonde sur ces principes, n'est donc pas contraire au droit fédéral. L'autorité cantonale constate en outre, de façon à lier le Tribunal fédéral ( art. 63 al. 2 OJ ), que l'ordonnance de mesures provisionnelles (saisie conservatoire provisionnelle) du 11 mars 1992 devait déployer ses effets jusqu'à droit jugé. Or le jugement au fond a été rendu le 25 novembre 1993 et n'a fait l'objet d'aucun appel. Les mesures provisionnelles n'ont donc pas été "validées" par le jugement au fond, comme l'affirme la recourante, mais sont au contraire devenues alors caduques, ainsi que le retient à juste titre la décision attaquée; partant, dès ce jugement définitif et exécutoire, il pouvait être donné libre cours à la procédure d'exécution forcée engagée.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