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42</w:t>
      </w:r>
    </w:p>
    <w:p>
      <w:r>
        <w:t>Bundesgericht (BGE), 1994-01-01, FR</w:t>
      </w:r>
    </w:p>
    <w:p>
      <w:r>
        <w:rPr>
          <w:b/>
        </w:rPr>
        <w:t xml:space="preserve">Quelle: </w:t>
      </w:r>
      <w:r>
        <w:t>https://mcp.opencaselaw.ch/entscheid/bge_BGE_120_III_42</w:t>
      </w:r>
    </w:p>
    <w:p>
      <w:r>
        <w:t>FR: ATF 120 III 42</w:t>
      </w:r>
    </w:p>
    <w:p>
      <w:r>
        <w:t>IT: DTF 120 III 42</w:t>
      </w:r>
    </w:p>
    <w:p>
      <w:pPr>
        <w:pStyle w:val="Heading2"/>
      </w:pPr>
      <w:r>
        <w:t>Regeste</w:t>
      </w:r>
    </w:p>
    <w:p>
      <w:r>
        <w:t>Regeste Art. 17-19 SchKG. Legitimation eines Staates zur Beschwerde und zum Rekurs gegen den Arrestvollzug, der Vermögenswerte einer öffentlichrechtlichen und seiner Ministerien unterstellten Körperschaft erfasst (E. 3). Art. 274 Abs. 2 Ziff. 1 und 67 Abs. 1 Ziff. 2 SchKG; Bezeichnung des Schuldners und seines Vertreters im Arrestbefehl. Der Arrestbefehl kann und soll sogar das Organ nennen, welches von Gesetzes wegen die öffentlichrechtliche Körperschaft vertritt (E. 4a). Im vorliegenden Fall bestehen keine Zweifel hinsichtlich der Identität des Schuldners und bezüglich der mit Arrest zu belegenden Vermögenswerte (E. 4b u. c). Art. 97 Abs. 2 und 275 SchKG. Werden durch einen Gläubiger zwei oder mehrere Arreste gegen denselben Schuldner und für dieselbe Forderung erwirkt, so liegt darin ein Rechtsmissbrauch, wenn dieses Vorgehen zur Blockierung von Vermögenswerten in einem Umfang führt, der erheblich über dem Betrag liegt, der für die Befriedigung der aus Kapital, Zinsen und Kosten zusammengesetzten Forderung nötig ist (E. 5a). In einem solchen Fall ist es angezeigt, einen Teil oder alle der zuletzt ergriffenen Massnahmen zu widerrufen (E. 5b), wobei massgebend der Zeitpunkt der gemäss Art. 99 SchKG erfolgten Anzeige ist (E. 6).</w:t>
      </w:r>
    </w:p>
    <w:p>
      <w:r>
        <w:t>Regeste Art. 17-19 LP. Qualité d'un Etat pour porter plainte et recourir contre l'exécution d'un séquestre touchant les avoirs d'une corporation publique dépendant d'un de ses Ministères (consid. 3). Art. 274 al. 2 ch. 1 et 67 al. 1 ch. 2 LP; désignation du débiteur et de son représentant dans l'ordonnance de séquestre. L'ordonnance peut et doit même mentionner, le cas échéant, l'organe prévu par la loi pour représenter une corporation de droit public (consid. 4a). Aucun doute en l'espèce sur l'identité du débiteur et les biens à séquestrer (consid. 4b et c). Art. 97 al. 2 et 275 LP. L'obtention, par un créancier, de deux ou plusieurs séquestres contre le même débiteur, pour la même créance, constitue l'abus manifeste d'un droit lorsqu'un tel procédé permet de bloquer des avoirs pour un montant notablement supérieur à celui nécessaire à satisfaire le créancier séquestrant en capital, intérêts et frais (consid. 5a). Il convient, dans ce cas, d'annuler tout ou partie des mesures dont l'exécution est la plus récente (consid. 5b). La date déterminante à cet égard est celle de la communication de l'avis de l'art. 99 LP au tiers (consid. 6).</w:t>
      </w:r>
    </w:p>
    <w:p>
      <w:r>
        <w:t>Regesto Art. 17-19 LEF. Legittimazione di uno Stato a interporre reclamo e a ricorrere contro l'esecuzione di un sequestro che colpisce gli averi di una corporazione di diritto pubblico, che dipende da uno dei suoi Ministeri (consid. 3). Art. 274 cpv. 2 n. 1 e 67 cpv. 1 n. 2 LEF; indicazione del debitore e del suo rappresentante nel decreto di sequestro. Il decreto può e deve addirittura menzionare, all'occorrenza, l'organo previsto dalla legge per rappresentare una corporazione di diritto pubblico (consid. 4a). Nella fattispecie non vi è alcun dubbio sull'identità del debitore e sui beni da sequestrare (consid. 4b e c). Art. 97 cpv. 2 e 275 LEF. L'ottenimento da parte di un creditore di due o più sequestri contro il medesimo debitore e per il medesimo credito costituisce un manifesto abuso di diritto, qualora un tale modo di procedere permetta di bloccare degli averi per un importo notevolmente superiore a quello necessario per soddisfare la pretesa in capitale, interessi e spese del creditore (consid. 5a). In questo caso occorre annullare totalmente o in parte le misure di esecuzione più recenti (consid. 5b). La data determinante è quella dell'avviso al terzo ai sensi dell'art. 99 LEF (consid. 6).</w:t>
      </w:r>
    </w:p>
    <w:p>
      <w:pPr>
        <w:pStyle w:val="Heading2"/>
      </w:pPr>
      <w:r>
        <w:t>Erwägungen</w:t>
      </w:r>
    </w:p>
    <w:p>
      <w:r>
        <w:rPr>
          <w:b/>
        </w:rPr>
        <w:t>E. 3</w:t>
      </w:r>
    </w:p>
    <w:p>
      <w:r>
        <w:t>La qualité pour porter plainte est reconnue à toute personne lésée ou exposée à l'être dans ses intérêts juridiquement protégés, ou tout au moins touchée dans ses intérêts de fait, par une mesure ou une omission d'un organe de la poursuite (P.-R. GILLIÉRON, Poursuite pour dettes, faillite et concordat, 3e éd., Lausanne 1993, p. 56 et la jurisprudence citée). a) Il est établi que KIA, dont les avoirs font l'objet du séquestre litigieux, est une corporation publique constituée par une loi koweïtienne du 20 juin 1982 et qu'elle est dotée d'une personnalité juridique BGE 120 III 42 S. 45 distincte, tout en étant dépendante du Ministère des Finances koweïtien. Conformément à ses statuts, le but de cette corporation est d'assurer, au nom et pour le compte du Gouvernement koweïtien, la gestion et l'investissement de différents fonds de l'Etat du Koweït. Contrairement à ce que soutient l'intimée, l'autorité cantonale de surveillance a donc retenu à juste titre que l'Etat du Koweït avait qualité pour se plaindre de la mesure de séquestre litigieuse, dès lors qu'il revendiquait formellement les biens séquestrés (GILLIÉRON, loc.cit. et p. 385 let. F). b) Pour le motif précité et du simple fait que sa plainte n'a pas été admise par l'autorité cantonale de surveillance, l'Etat du Koweït a qualité pour recourir au Tribunal fédéral (GILLIÉRON, op.cit., p. 57 et SUZETTE SANDOZ-MONOD, Commentaire de la loi fédérale d'organisation judiciaire, vol. II, Berne 1990, p. 726 ss).</w:t>
      </w:r>
    </w:p>
    <w:p>
      <w:r>
        <w:rPr>
          <w:b/>
        </w:rPr>
        <w:t>E. 4</w:t>
      </w:r>
    </w:p>
    <w:p>
      <w:r>
        <w:t>a) Le recourant fait valoir que le libellé de l'ordonnance de séquestre n'était pas conforme aux art. 274 al. 2 ch. 1 et 67 al. 1 ch. 2 LP, de sorte que l'office aurait dû refuser de l'exécuter. Selon lui, la mention "agissant par le truchement de son organe exécutif Kuwait Investment Office" ne pouvait signifier que ce dernier était le représentant légal de la débitrice au sens de l' art. 67 al. 1 ch. 2 LP . Le représentant légal, selon cette disposition, doit être distingué du représentant simplement contractuel (mandataires, agents, membres du Conseil d'administration d'une société, fondés de pouvoirs et de procuration, etc.) et des organes prévus par la loi pour représenter les corporations de droit public et les personnes morales. Il ne peut s'agir que d'une personne appelée en vertu de la loi à agir en lieu et place d'un individu ne possédant pas l'exercice de ses droits civils, tels le tuteur ou le détenteur de l'autorité parentale (C. JÄGER, Commentaire de la LP, n. 2 ad 47 et n. 13 ad art. 67). De façon générale, les débiteurs comme les créanciers sont libres d'agir en personne ou de se faire représenter par un mandataire. Les personnes juridiques et les entités juridiques sont, quant à elles, représentées par leurs organes légaux et statutaires (cf. art. 65 LP ; GILLIÉRON, op.cit., p. 78 let. e). Le créancier doit d'ailleurs énoncer dans sa réquisition de poursuite (ou de séquestre) le nom du représentant autorisé de la personne juridique ou de la société poursuivie ( ATF 117 III 10 consid. 5b p. 13; GILLIÉRON, op.cit., p. 126). Le recourant soutient donc à tort qu'aucune mention autre que celle de représentant légal au sens (étroit) de l' art. 67 al. 1 ch. 2 LP ne serait admise dans l'ordonnance de séquestre. BGE 120 III 42 S. 46 Il est constant, en l'espèce, que le KIO est un bureau de représentation du KIA en dehors de l'Etat du Koweït. Dépourvu de la personnalité juridique, il bénéficie d'une certaine autonomie, mais demeure soumis au contrôle du Conseil d'administration de KIA dont il fait partie intégrante. La désignation de la débitrice, telle qu'elle figure dans l'ordonnance, indique donc clairement la relation de représentation entre KIA et KIO. Le fait que ce dernier soit dépourvu de la personnalité juridique ne l'empêche nullement d'agir comme représentant: certains organes d'une collectivité publique (départements, offices, services ou sections) peuvent en effet, bien que n'ayant pas le caractère de personnes morales de droit public, agir - notamment en justice - au nom et pour le compte de la collectivité publique dont ils sont les agents (ANDRÉ GRISEL, Traité de droit administratif, vol. I p. 197 ch. 4). b) Au dire du recourant, l'ordonnance de séquestre laissait planer un doute sur l'identité du débiteur en mentionnant que la créance était "dirigée contre Kuwait Investment Authority/Kuwait Invest- ment Office", ce qui devait entraîner la nullité de la mesure. Une telle mention, comme l'a retenu à juste titre l'autorité cantonale de surveillance, ne pouvait prêter à confusion en l'espèce et, en particulier, donner à penser qu'on avait affaire à deux débiteurs solidaires. L'ordonnance n'indiquait qu'un seul débiteur: Kuwait Investment Authority, lequel agissait par l'intermédiaire de son organe exécutif, le KIO. Il n'y avait aucune équivoque. c) L'autorité cantonale de surveillance a néanmoins admis une certaine ambiguïté dans la désignation des biens à séquestrer. Aux termes de l'ordonnance, en effet, devaient être séquestrés "tous titres, objets, avoirs (...), appartenant à Kuwait Investment Authority et/ou Kuwait Investment Office". Elle a considéré toutefois que la précision apportée dans l'ordonnance quant à la qualité effectivement revêtue par le KIO, simple organe de KIA, permettait d'admettre que la créancière entendait s'en prendre aux seuls biens de KIA, qu'ils fussent inscrits sous son propre nom, sous celui de KIO ou encore sous les deux, ce qui était compréhensible du fait que seul le KIO était apparu dans les rapports contractuels invoqués, les publications officielles et les médias. Au demeurant, on ne pouvait reconnaître au KIO, en vertu des règles de droit civil, une qualité de propriétaire juridiquement distinct de la poursuivie. Ces conclusions apparaissent justifiées au regard de ce qui a été dit aux considérants 3a et 4a et b ci-dessus. Il s'ensuit que l'autorité cantonale de surveillance a retenu à bon droit que l'office, à défaut d'irrégularité BGE 120 III 42 S. 47 formelle ou de vice entraînant la nullité ( ATF 109 III 120 consid. 6 p. 126, ATF 107 III 33 consid. 4 p. 37 s.), devait obtempérer à l'ordonnance de séquestre litigieuse.</w:t>
      </w:r>
    </w:p>
    <w:p>
      <w:r>
        <w:rPr>
          <w:b/>
        </w:rPr>
        <w:t>E. 5</w:t>
      </w:r>
    </w:p>
    <w:p>
      <w:r>
        <w:t>Il est constant en l'espèce que la créancière a obtenu, dans deux arrondissements distincts, deux séquestres en garantie d'une seule et même créance, et que les deux séquestres ont intégralement porté, faisant ainsi double emploi. a) Il est certes admis que le même créancier puisse obtenir contre le même débiteur, pour la même créance, plusieurs séquestres en des lieux différents ( ATF 88 III 59 consid. 4 p. 66; GILLIÉRON, op.cit., p. 375 ch. 2). Un tel procédé ne doit toutefois pas constituer un abus de droit manifeste. En matière de séquestre, un tel abus existe lorsque la mesure, bien que conforme aux dispositions légales, a été obtenue à des fins ou dans des conditions qui font apparaître l'attitude du créancier requérant comme absolument incompatible avec les règles de la bonne foi ( ATF 107 III 33 consid. 4 p. 38, ATF 105 III 18 s.). Tel est le cas de séquestres qui, requis dans différents arrondissements, permettent d'obtenir le blocage d'avoirs pour un montant notablement supérieur à celui nécessaire à satisfaire le créancier séquestrant en capital, intérêts et frais, contrairement à la règle posée à l' art. 97 al. 2 LP , applicable par renvoi de l'art. 275 de la même loi. Pareille façon de procéder ne saurait se justifier, comme l'a retenu avec raison l'autorité cantonale, par le souci de se prémunir contre l'éventuelle intervention de créanciers subséquents qui chercheraient à se désintéresser sur les mêmes actifs ( art. 281 al. 1 LP ), vu le texte clair de l' art. 97 al. 2 LP . De même, il n'est pas décisif, dans ce contexte, que le débiteur puisse recouvrer la libre disposition de ses avoirs en fournissant des sûretés conformément à l' art. 277 LP . Enfin, le fait que le créancier réponde, en vertu de l' art. 273 al. 1 LP , du dommage que le séquestre peut occasionner n'entre pas davantage en ligne de compte. L'action prévue par cette disposition n'est donnée, en effet, que si le séquestre est injustifié, c'est-à-dire ordonné sans qu'il y ait un cas de séquestre ou fondé sur une créance garantie et couverte par un gage, inexistante ou non exigible (GILLIÉRON, op.cit., p. 393 ch. VII), hypothèses non réalisées en l'espèce. b) La question de savoir si le cumul de deux ou plusieurs séquestres consacre l'abus manifeste d'un droit ne peut être tranchée qu'a posteriori, c'est-à-dire une fois que les mesures ont été exécutées et que l'on sait si BGE 120 III 42 S. 48 et dans quelle mesure les séquestres ont porté. Si le caractère abusif d'un tel cumul est alors établi, il convient d'annuler, ou de réduire au strict nécessaire selon l' art. 97 al. 2 LP , les mesures dont l'exécution est la plus récente. La date d'exécution des séquestres est donc déterminante.</w:t>
      </w:r>
    </w:p>
    <w:p>
      <w:r>
        <w:rPr>
          <w:b/>
        </w:rPr>
        <w:t>E. 6</w:t>
      </w:r>
    </w:p>
    <w:p>
      <w:r>
        <w:t>Deux dates entrent en ligne de compte pour savoir lequel des deux séquestres a été exécuté en second lieu. Pour le recourant, la date déterminante est celle de la notification du procès-verbal au débiteur (29 juin à Zurich et 21 juillet à Genève) et c'est donc l'exécution du séquestre genevois qui devrait être annulée; pour l'autorité cantonale, la date déterminante est celle de l'autorisation du séquestre (10 mai à Genève et 17 juin à Zurich), de sorte que c'est l'exécution du séquestre de Zurich qui devrait être annulée. a) Le séquestre est exécuté, en ce qui concerne le débiteur, lorsque le préposé, fonctionnaire ou employé chargé de l'exécution lui ont fait savoir qu'il lui est interdit, sous les peines de droit ( art. 169 CP ), de disposer des biens séquestrés sans l'autorisation du préposé; cette communication est opérée lors de la notification du procès-verbal de séquestre au débiteur (GILLIÉRON, op.cit., p. 382). Pour le tiers, en revanche, c'est l'avis de l' art. 99 LP qui constitue l'acte d'exécution du séquestre (JÄGER, op.cit., n. 1B ad art. 275). Cet avis n'est certes pas une condition de validité du séquestre; simple mesure de sûreté, il a néanmoins pour effet d'informer le tiers qu'il ne peut plus désormais s'acquitter qu'en mains de l'office; le tiers doit l'observer sous peine d'engager sa responsabilité civile envers le créancier séquestrant ( ATF 103 III 36 consid. 3 p. 39, ATF 101 III 65 consid. 6 p. 67). b) Le jugement attaqué relève que c'est généralement par l'intermédiaire du tiers que le débiteur est avisé de la mesure exécutée à son encontre, ce qui est particulièrement vrai en matière de séquestre d'avoirs bancaires; dans une telle hypothèse, le débiteur désireux de sauvegarder ses intérêts par les voies de droit à sa disposition est généralement à même d'influencer la date de communication du procès-verbal de séquestre, dès lors qu'il peut élire domicile auprès d'un mandataire professionnel de l'arrondissement compétent aux fins de faire accélérer la notification de cet acte. D'une manière plus générale, le temps qui s'écoule jusqu'à la notification de l'acte dépend du mode de communication qui est utilisé et du pays dans lequel le débiteur est domicilié. Ainsi, la date de notification du procès-verbal de séquestre au débiteur est aléatoire. BGE 120 III 42 S. 49 C'est en revanche le créancier seul qui choisit le moment où il entend requérir un ou plusieurs séquestres à l'encontre du débiteur; si elle estime la requête fondée, l'autorité compétente doit ordonner la mesure immédiatement et il incombe à l'office d'entreprendre son exécution aussitôt ( art. 56 LP ; ATF 107 III 33 consid. 5 p. 39). La délivrance de l'ordonnance de séquestre et le début de son exécution par l'office interviennent ainsi presque simultanément. c) La Chambre de céans peut se rallier au point de vue soutenu par l'autorité cantonale de surveillance, dont les motifs sont pertinents. Toutefois, pour prévenir d'éventuelles difficultés résultant de la "quasi-simultanéité" de l'autorisation et de l'exécution proprement dite, il y a lieu de retenir comme date décisive celle de la communication de l'avis de l' art. 99 LP au tiers. Cela étant, le second séquestre exécuté au sens de ce qui précède est celui opéré à Zurich dès le 18 juin et il appartient aux autorités compétentes de ce canton de lever cette mesure, s'il est établi qu'elle consacre l'abus manifeste d'un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