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w:t>
      </w:r>
    </w:p>
    <w:p>
      <w:r>
        <w:t>Bundesgericht (BGE), 1994-01-01, DE</w:t>
      </w:r>
    </w:p>
    <w:p>
      <w:r>
        <w:rPr>
          <w:b/>
        </w:rPr>
        <w:t xml:space="preserve">Quelle: </w:t>
      </w:r>
      <w:r>
        <w:t>https://mcp.opencaselaw.ch/entscheid/bge_BGE_120_III_3</w:t>
      </w:r>
    </w:p>
    <w:p>
      <w:r>
        <w:t>FR: ATF 120 III 3</w:t>
      </w:r>
    </w:p>
    <w:p>
      <w:r>
        <w:t>IT: DTF 120 III 3</w:t>
      </w:r>
    </w:p>
    <w:p>
      <w:pPr>
        <w:pStyle w:val="Heading2"/>
      </w:pPr>
      <w:r>
        <w:t>Regeste</w:t>
      </w:r>
    </w:p>
    <w:p>
      <w:r>
        <w:t>Regeste Zustellung des Entscheides der kantonalen Aufsichtsbehörde und Fristbeginn für den Rekurs (Art. 19 Abs. 1 SchKG). Wird ihr Entscheid vom Beschwerdeführer nicht abgeholt und nimmt die kantonale Aufsichtsbehörde eine erneute Zustellung vor, so hindert dieses Vorgehen den Fristbeginn für die Einreichung des Rekurses nicht.</w:t>
      </w:r>
    </w:p>
    <w:p>
      <w:r>
        <w:t>Regeste Notification de la décision de l'autorité cantonale de surveillance et début du délai de recours (art. 19 al. 1 LP). Le fait que l'autorité cantonale de surveillance procède à une nouvelle notification de sa décision que le recourant n'est pas allé retirer n'empêche pas le délai de recours de commencer à courir.</w:t>
      </w:r>
    </w:p>
    <w:p>
      <w:r>
        <w:t>Regesto Notifica della decisione cantonale di vigilanza e inizio del termine di ricorso (art. 19 cpv. 1 LEF). Il fatto che la decisione non venga ritirata dal ricorrente e che l'autorità cantonale di vigilanza proceda a una nuova notifica non impedisce che il termine di ricorso inizi a decorrere.</w:t>
      </w:r>
    </w:p>
    <w:p>
      <w:pPr>
        <w:pStyle w:val="Heading2"/>
      </w:pPr>
      <w:r>
        <w:t>Erwägungen</w:t>
      </w:r>
    </w:p>
    <w:p>
      <w:r>
        <w:rPr>
          <w:b/>
        </w:rPr>
        <w:t>E. 1</w:t>
      </w:r>
    </w:p>
    <w:p>
      <w:r>
        <w:t>Der Entscheid einer kantonalen Aufsichtsbehörde kann innert zehn Tagen seit dessen Mitteilung an die Schuldbetreibungs- und Konkurskammer des BGE 120 III 3 S. 4 Bundesgerichts weitergezogen werden; der Rekurs ist bei der kantonalen Aufsichtsbehörde einzureichen ( Art. 19 Abs. 1 SchKG und Art. 78 Abs. 1 OG ). a) Das Bundesrecht legt fest, in welcher Weise die Betreibungsbehörden sich mit wem in Verbindung setzen (Art. 34, Art. 35, Art. 64 - Art. 66 SchKG ). Das kantonale Recht bestimmt hingegen, in welcher Form ein Entscheid seiner Aufsichtsbehörden in Schuldbetreibungs- und Konkurssachen den Adressaten mitzuteilen ist. Wann diese Zustellung im Hinblick auf den Fristbeginn für die Einreichung eines Rekurses an das Bundesgericht als vorgenommen zu gelten hat, ist wiederum eine Frage des Bundesrechts ( BGE 97 III 7 E. 1 S. 9). d) Am 16. August 1993 war die Rekurrentin an das Obergericht gelangt. Ab diesem Zeitpunkt musste sie mit der Zustellung eines Entscheides dieser Instanz rechnen. Auf dem angefochtenen Beschluss findet sich der Vermerk, dass das Obergericht diesen am 2. Dezember 1993 den Parteien, dem Betreibungsamt und dem Bezirksgericht zusandte. Dass ihr demzufolge am 3. Dezember 1993 eine erste Abholungseinladung zuging, bestreitet die Rekurrentin nicht. Sie legt im übrigen auch keine Gründe dar, weshalb sie darauf allenfalls nicht hat reagieren können und beantragt auch keine Wiederherstellung der Frist ( Art. 35 Abs. 1 OG ). Der Beschluss gilt somit am 10. Dezember 1993 als zugestellt, womit die Frist zur Einreichung des Rekurses am 20. Dezember 1993 abgelaufen ist. Dass das zürcherische Verfahrensrecht die erneute Zustellung von Vorladungen und Entscheiden vorsieht ( § 179 Abs. 1 und § 187 Abs. 1 GVG /ZH), ändert an diesem Ergebnis nichts, da sich der Beginn der Rekursfrist gerade nicht nach kantonalem Recht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