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159</w:t>
      </w:r>
    </w:p>
    <w:p>
      <w:r>
        <w:t>Bundesgericht (BGE), 1993-12-03, FR</w:t>
      </w:r>
    </w:p>
    <w:p>
      <w:r>
        <w:rPr>
          <w:b/>
        </w:rPr>
        <w:t xml:space="preserve">Quelle: </w:t>
      </w:r>
      <w:r>
        <w:t>https://mcp.opencaselaw.ch/entscheid/bge_BGE_120_III_159</w:t>
      </w:r>
    </w:p>
    <w:p>
      <w:r>
        <w:t>FR: ATF 120 III 159</w:t>
      </w:r>
    </w:p>
    <w:p>
      <w:r>
        <w:t>IT: DTF 120 III 159</w:t>
      </w:r>
    </w:p>
    <w:p>
      <w:pPr>
        <w:pStyle w:val="Heading2"/>
      </w:pPr>
      <w:r>
        <w:t>Regeste</w:t>
      </w:r>
    </w:p>
    <w:p>
      <w:r>
        <w:t>Regeste Arrestvollzug (Art. 274 ff. SchKG); Rechtsmissbrauch (Art. 2 ZGB). Der durch einen Alleinvertriebsvertrag Begünstigte, der nach Auflösung dieses Vertrages im Hinblick auf steigende Nachfrage am Ende der Vertragsdauer in den Genuss grösserer Lieferungen kommt, handelt nicht rechtsmissbräuchlich, wenn er - um seinen Schadenersatzanspruch zu sichern - die Verarrestierung der Forderung verlangt, welche dem Vertragspartner gegen seine Filiale zusteht (E. 3 und 4).</w:t>
      </w:r>
    </w:p>
    <w:p>
      <w:r>
        <w:t>Regeste Exécution du séquestre (art. 274 ss LP); abus de droit (art. 2 CC). N'abuse pas de son droit le bénéficiaire d'un accord de vente exclusive qui, après la dénonciation de cet accord, obtient une augmentation des livraisons en prévision d'une période de pointe en fin de contrat et requiert le séquestre de la créance ainsi acquise contre sa filiale par son cocontractant, jusqu'à droit connu sur l'action en dommages-intérêts intentée contre celui-ci (consid. 3 et 4).</w:t>
      </w:r>
    </w:p>
    <w:p>
      <w:r>
        <w:t>Regesto Esecuzione del sequestro (art. 274 segg. LEF); abuso di diritto (art. 2 CC). Non commette abuso di diritto il beneficiario di un contratto di vendita in esclusiva, il quale, disdetto tale contratto, ottiene dapprima un aumento delle forniture, in previsione di un incremento della domanda verso la fine del periodo contrattuale, e domanda poi il sequestro del credito che la controparte contrattuale ha in tal modo acquisito nei confronti della sua filiale, e ciò al fine di assicurare la pretesa di risarcimento danni fatta valere nei confronti di detta controparte (consid. 3 e 4).</w:t>
      </w:r>
    </w:p>
    <w:p>
      <w:pPr>
        <w:pStyle w:val="Heading2"/>
      </w:pPr>
      <w:r>
        <w:t>Erwägungen</w:t>
      </w:r>
    </w:p>
    <w:p>
      <w:r>
        <w:rPr>
          <w:b/>
        </w:rPr>
        <w:t>E. 3</w:t>
      </w:r>
    </w:p>
    <w:p>
      <w:r>
        <w:t>a) 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 ATF 115 III 35 s.; P.-R. GILLIÉRON, Poursuite pour dettes, faillite et concordat, 3e éd., Lausanne 1993, p. 363). L'autorité de séquestre charge l'office des poursuites d'exécuter la mesure en lui remettant une ordonnance contenant les indications prévues par la loi ( art. 274 LP ). Cet acte est un titre BGE 120 III 159 S. 161 exécutoire; il contient un ordre auquel l'office est en principe tenu de déférer. Celui-ci ne peut donc pas examiner le bien-fondé de l'ordonnance de séquestre et vérifier notamment l'existence des conditions justifiant l'octroi de la mesure. Dans certains cas, cependant, il peut et doit même refuser son concours à l'exécution du séquestre. Il en est ainsi en particulier lorsque le séquestre consacre l'abus manifeste d'un droit (GILLIÉRON, op.cit., p. 384/385), c'est-à-dire lorsque la mesure, bien que conforme aux dispositions légales, a été obtenue à des fins ou dans des conditions qui font apparaître l'attitude du créancier requérant comme absolument incompatible avec les règles de la bonne foi ( ATF 108 III 119 , ATF 107 III 33 consid. 4 p. 38, ATF 105 III 18 s.). b) N'abuse pas de son droit le créancier qui exécute ses obligations de vendeur, puis fait séquestrer la marchandise livrée pour se couvrir d'une créance en dommages-intérêts contre l'acheteur née postérieurement à la commande portant sur la marchandise séquestrée ( ATF 110 III 35 ). Quant à l'acheteur qui a émis un accréditif et fait déposer les documents à la banque confirmatrice, la jurisprudence récente admet qu'il puisse faire séquestrer la créance du bénéficiaire contre la banque pour garantir le recouvrement d'une créance en dommages-intérêts née de l'inexécution ou de la mauvaise exécution du contrat de base ( ATF 117 III 76 consid. 7 p. 79 ss et les références). Par ailleurs, la jurisprudence n'interdit pas au débiteur de séquestrer - en vue d'une action en répétition de l'indu - la somme payée par lui à l'office (ATF ATF 90 II 108 consid. 5 p. 117 i.f.; ATF 58 III 32 ).</w:t>
      </w:r>
    </w:p>
    <w:p>
      <w:r>
        <w:rPr>
          <w:b/>
        </w:rPr>
        <w:t>E. 4</w:t>
      </w:r>
    </w:p>
    <w:p>
      <w:r>
        <w:t>La recourante reproche à l'autorité cantonale d'avoir violé l' art. 2 CC en niant l'existence d'un abus de droit dans le cas particulier. a) Il est constant, selon l'arrêt attaqué, que la demande de l'intimée du 8 septembre 1993 d'augmenter les livraisons en prévision des ventes de fin d'année, le mois de décembre étant une pointe saisonnière, ne procédait pas d'une intention déloyale. La livraison de produits jusqu'au 31 décembre 1993 était du reste conforme à l'accord de vente exclusive de 1958, qui demeurait en vigueur jusqu'à fin 1993. L'intimée avait en outre manifesté son intention d'exécuter ses paiements normalement et déclaré qu'elle ne pourrait pas les retenir sans avoir obtenu un jugement en sa faveur. Elle ne contestait d'ailleurs pas la créance de la recourante et n'avait même pas tenté en l'état d'exercer un éventuel droit de compensation. Cette question de la compensation avait cependant été évoquée lors de la rencontre du 8 septembre 1993. Le directeur de la recourante, qui avait BGE 120 III 159 S. 162 exprimé quelque crainte à ce sujet, avait alors demandé une garantie de paiement, que l'intimée s'était déclaré disposée à accorder irrévocablement, sous réserve de réclamations en rapport avec les livraisons requises et de l'autorisation préalable de son conseil d'administration. Si l'engagement de l'intimée de garantir irrévocablement la dette d'A. SA n'était pas venu à chef, c'était à cause du défaut de l'autorisation préalable nécessaire du conseil d'administration, autorisation dont il n'était pas démontré qu'elle n'aurait dû être qu'une formalité. Il n'était pas établi, au demeurant, que ledit conseil ait agi contrairement aux règles de la bonne foi en décidant, le 3 décembre 1993, de mettre à l'étude la question de la garantie sollicitée. Les livraisons de produits avaient entre-temps été effectuées jusqu'à la fin de l'année 1993. b) De ces constatations, l'autorité cantonale de surveillance pouvait déduire, sans violer les principes jurisprudentiels rappelés plus haut et appliqués ici mutatis mutandis, que l'intimée n'avait pas agi de manière incompatible avec les règles de la bonne foi en requérant le séquestre de la créance de la recourante contre A. SA à des fins conservatoires, jusqu'à droit connu sur la demande en dommages-intérêts déposée auprès du Tribunal de commerce de Bordeaux; ce d'autant qu'en l'espèce aucune garantie irrévocable n'a été donnée par l'organe compétent. On relève de surcroît dans le dossier ( art. 64 al. 2 OJ ) qu'A. SA, filiale de l'intimée qualifiée par la recourante elle-même de "société de facturation sans substance particulière en dehors des créances qu'elle encaisse", a déposé le montant de la créance séquestrée ..., auprès de la Banque de l'Etat de Fribourg, sur un compte bloqué, cette somme ne pouvant être libérée qu'avec l'accord écrit de l'office des poursuites (...). Or, l'on ne saurait nier d'emblée toute analogie entre cette situation et celle du débiteur qui fait séquestrer - en vue d'une action en répétition de l'indu - la somme payée par lui à l'office ( ATF 90 II 108 consid. 5 p. 117 i.f.; 58 III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