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153</w:t>
      </w:r>
    </w:p>
    <w:p>
      <w:r>
        <w:t>Bundesgericht (BGE), 1994-01-01, FR</w:t>
      </w:r>
    </w:p>
    <w:p>
      <w:r>
        <w:rPr>
          <w:b/>
        </w:rPr>
        <w:t xml:space="preserve">Quelle: </w:t>
      </w:r>
      <w:r>
        <w:t>https://mcp.opencaselaw.ch/entscheid/bge_BGE_120_III_153</w:t>
      </w:r>
    </w:p>
    <w:p>
      <w:r>
        <w:t>FR: ATF 120 III 153</w:t>
      </w:r>
    </w:p>
    <w:p>
      <w:r>
        <w:t>IT: DTF 120 III 153</w:t>
      </w:r>
    </w:p>
    <w:p>
      <w:pPr>
        <w:pStyle w:val="Heading2"/>
      </w:pPr>
      <w:r>
        <w:t>Regeste</w:t>
      </w:r>
    </w:p>
    <w:p>
      <w:r>
        <w:t>Regeste Verteilung; Bezahlung der Grundstückgewinnsteuer als Masseschuld (Art. 262 Abs. 1 SchKG). Sofern nicht schon die Steuerbehörde darüber entschieden hat, ob eine Steuer als Masseschuld zu bezeichnen sei, ist die Konkursverwaltung befugt, über diese Frage mit der Schlussrechnung zu befinden (E. 2a). Wie andere Masseschulden muss die Grundstückgewinnsteuer, die wegen des bei der Zwangsversteigerung eines Grundstücks erzielten Mehrerlöses geschuldet wird, vor der Verteilung des Erlöses vollständig bezahlt werden (E. 2b). Die Masseschulden müssen weder im Kollokationsplan noch im Lastenverzeichnis aufgeführt werden, sondern sind in die Schlussrechnung aufzunehmen (E. 2c).</w:t>
      </w:r>
    </w:p>
    <w:p>
      <w:r>
        <w:t>Regeste Distribution des deniers; paiement d'un impôt sur les gains immobiliers ou sur le bénéfice en capital au titre des dettes de la masse (art. 262 al. 1 LP). A défaut de décision de l'autorité fiscale passée en force, déniant à l'impôt en question sa qualité de dette de la masse, l'administration de la faillite est fondée à faire état de cette qualité dans le compte final (consid. 2a). Les dettes de la masse, tel l'impôt sur les gains immobiliers ou sur le bénéfice en capital lié à la réalisation d'une plus-value lors de la vente aux enchères d'un immeuble, sont payables intégralement avant toute distribution aux créanciers (consid. 2b). Les dettes de la masse n'ont pas à figurer dans l'état de collocation ou dans l'état des charges qui en fait partie, mais dans le compte final (consid. 2c).</w:t>
      </w:r>
    </w:p>
    <w:p>
      <w:r>
        <w:t>Regesto Ripartizione; pagamento di un'imposta sul maggior valore immobiliare quale debito della massa (art. 262 cpv. 1 LEF). In assenza di una decisione dell'autorità fiscale passata in giudicato che nega all'imposta in discussione la qualità di debito della massa, l'amministrazione del fallimento può far stato di tale qualità nel conto finale (consid. 2a). I debiti della massa, come l'imposta sul maggior valore immobiliare derivante dalla vendita agli incanti di un immobile, devono essere integralmente pagati prima di ogni distribuzione ai creditori (consid. 2b). I debiti della massa non devono figurare nella graduatoria o nell'elenco oneri, ma bensì nella relazione finale (consid. 2c).</w:t>
      </w:r>
    </w:p>
    <w:p>
      <w:pPr>
        <w:pStyle w:val="Heading2"/>
      </w:pPr>
      <w:r>
        <w:t>Erwägungen</w:t>
      </w:r>
    </w:p>
    <w:p>
      <w:r>
        <w:rPr>
          <w:b/>
        </w:rPr>
        <w:t>E. 2</w:t>
      </w:r>
    </w:p>
    <w:p>
      <w:r>
        <w:t>a) L'office a considéré que l'impôt sur le bénéfice en capital était une dette de la masse. Expressément avisée, par les conditions de vente portées à sa connaissance, de son droit de contester le principe même de la qualité de dette de la masse, la recourante n'a pas réagi en temps utile - savoir avant la distribution des deniers ou, plus précisément, avant le dépôt du tableau de distribution (Dominique RIGOT, Le recouvrement forcé des créances de droit public selon le droit de poursuite pour dettes et la faillite, thèse Lausanne 1991, p. 328 n. 319) -, en saisissant l'autorité BGE 120 III 153 S. 156 compétente pour statuer sur le fond de la prétention en cause, c'est-à-dire en l'occurrence l'autorité fiscale (GILLIÉRON, Poursuite pour dettes, faillite et concordat, 3e éd., Lausanne 1993, p. 300 ch. III A et les arrêts cités). Contrairement à ce qu'elle prétend, elle avait qualité pour agir (cf. RIGOT, op.cit., p. 328 ss n. 319 et 320). A défaut d'une décision au fond passée en force et contraignante pour l'administration de la faillite, déniant à l'impôt en question sa qualité de dette de la masse, l'office était fondé à faire état, dans le compte final, de cette qualité clairement affirmée dans les conditions de vente, ce d'autant que les créanciers hypothécaires, à la lecture de celles-ci, avaient été formellement avertis que, faute de contestation de leur part, l'impôt serait payé au titre des dettes de la masse, par prélèvement sur le produit de la réalisation (RIGOT, loc.cit., n. 320). b) La Chambre de céans ne peut elle-même trancher la question de la nature de la dette en jeu, son examen se restreignant aux éventuels litiges portant sur l'interprétation des décisions au fond rendues par les autorités compétentes ( ATF 96 I 244 consid. 1 p. 246). Il appert cependant que le point de vue de l'office et des autorités cantonales de surveillance, quant au sort de la dette en cause, est conforme à la jurisprudence et à la doctrine. En effet, outre les frais de faillite proprement dits au sens de l' art. 262 al. 1 LP , les dettes de la masse comprennent notamment les obligations de droit public dont l'origine se trouve dans un fait réalisé après l'ouverture de la faillite ( ATF 111 Ia 86 consid. 2c p. 89 et les références; GILLIÉRON, op.cit., p. 300 ch. III B). Tel est le cas, par exemple, de l'impôt sur les gains immobiliers ou sur le bénéfice en capital, lié à la réalisation d'une plus-value lors de la vente aux enchères d'un immeuble, l'adjudication étant le fait générateur engendrant la créance fiscale (WALTER RYSER, Dix leçons introductives au droit fiscal, impôts directs, 2e éd., Berne 1980, p. 26 n. 13; JEAN-MARC RIVIER, Droit fiscal suisse, Neuchâtel 1980, p. 348 et les références; RIGOT, op.cit., p. 314 s. n. 303 et 304, p. 322 n. 311). Or les dettes de la masse, à l'instar des frais occasionnés par l'ouverture de la faillite et la liquidation ( art. 262 al. 1 LP ), sont payées intégralement sur le produit brut de la vente des biens, avant la répartition aux créanciers, c'est-à-dire avant la distribution des deniers ( ATF 96 I 244 consid. 2 p. 246; GILLIÉRON, op.cit., p. 300 ch. III A). C'est dès lors à bon droit que l'autorité cantonale de surveillance a confirmé la décision de l'autorité inférieure et, partant, celle de BGE 120 III 153 S. 157 l'office de mentionner l'impôt litigieux, dans le compte des frais et tableau de distribution des deniers, sous la rubrique "dettes de la masse - à charge des créanciers hypothécaires". c) La recourante se prévaut de ce que l'office, par la décision précitée, aurait en fait modifié illicitement l'état des charges de l'immeuble en cause. Les dettes de la masse n'ayant pas à figurer dans l'état de collocation ou dans l'état des charges qui en fait partie, mais dans le compte final ( ATF 106 III 118 consid. 3 p. 123; RIGOT, op.cit., p. 328 n. 320 et les références), le grief est manifestement dénué de toute consistance.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