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141</w:t>
      </w:r>
    </w:p>
    <w:p>
      <w:r>
        <w:t>Bundesgericht (BGE), 1994-01-01, DE</w:t>
      </w:r>
    </w:p>
    <w:p>
      <w:r>
        <w:rPr>
          <w:b/>
        </w:rPr>
        <w:t xml:space="preserve">Quelle: </w:t>
      </w:r>
      <w:r>
        <w:t>https://mcp.opencaselaw.ch/entscheid/bge_BGE_120_III_141</w:t>
      </w:r>
    </w:p>
    <w:p>
      <w:r>
        <w:t>FR: ATF 120 III 141</w:t>
      </w:r>
    </w:p>
    <w:p>
      <w:r>
        <w:t>IT: DTF 120 III 141</w:t>
      </w:r>
    </w:p>
    <w:p>
      <w:pPr>
        <w:pStyle w:val="Heading2"/>
      </w:pPr>
      <w:r>
        <w:t>Regeste</w:t>
      </w:r>
    </w:p>
    <w:p>
      <w:r>
        <w:t>Regeste Art. 206 SchKG. Nach Einstellung des Konkursverfahrens mangels Aktiven kann die Grundpfandverwertung am Ort der gelegenen Sache wiederaufgenommen werden.</w:t>
      </w:r>
    </w:p>
    <w:p>
      <w:r>
        <w:t>Regeste Art. 206 LP. Après suspension de la liquidation faute d'actifs, la réalisation d'un gage immobilier peut être continuée au lieu de situation de l'immeuble.</w:t>
      </w:r>
    </w:p>
    <w:p>
      <w:r>
        <w:t>Regesto Art. 206 LEF. Dopo la sospensione della liquidazione per mancanza di attivi, la realizzazione di un pegno immobiliare può essere continuata nel luogo in cui si trova l'immobile.</w:t>
      </w:r>
    </w:p>
    <w:p>
      <w:pPr>
        <w:pStyle w:val="Heading2"/>
      </w:pPr>
      <w:r>
        <w:t>Erwägungen</w:t>
      </w:r>
    </w:p>
    <w:p>
      <w:r>
        <w:rPr>
          <w:b/>
        </w:rPr>
        <w:t>E. 3</w:t>
      </w:r>
    </w:p>
    <w:p>
      <w:r>
        <w:t>Die Auffassung der Vorinstanz, dass nach Einstellung des Konkursverfahrens mangels Aktiven die Grundpfandverwertung am Ort der gelegenen Sache wiederaufgenommen werden könne, entspricht im Ergebnis der bundesgerichtlichen Rechtsprechung. Sie hat erkannt, dass vor der Konkurseröffnung angehobene Betreibungen auf Pfandverwertung nach Einstellung und Schliessung des Konkurses mangels Aktiven weitergeführt werden können ( BGE 88 III 20 , bestätigt in BGE 111 III 70 E. 2a, S. 72). Diese Ausnahme vom Grundsatz des Art. 206 SchKG sieht das Bundesgericht damit gerechtfertigt, dass die Fortsetzung der Betreibung nach der Einstellung und Schliessung des Konkurses nicht gegen die Interessen der Gesamtheit der Gläubiger verstosse, welche der erwähnte Grundsatz schützen will, und dass dessen Anwendung in einzelnen Fällen ausgesprochen unbillige Folgen hätte ( BGE 88 III 20 , S. 22, mit Hinweisen auf BGE 79 III 168 /169 und BGE 87 III 75 /76; siehe auch FRITZSCHE/WALDER, Schuldbetreibung und Konkurs nach schweizerischem Recht, Band II, § 45 Rz. 13). Im vorliegenden Fall hat das Bezirksgerichtspräsidium Zurzach, auf dessen Entscheid die Schuldbetreibungs- und Konkurskommission des Obergerichts des Kantons Aargau verweist, eine strikte Anwendung von Art. 206 SchKG als unbillig betrachtet, weil vier Tage vor der Grundpfandverwertung der Konkurs über die Rekurrentin eröffnet worden ist. Der Pfandgläubiger habe in der eigenen fortgeschrittenen Betreibung eine Rechtsstellung erlangt, welche nach einer Abweichung vom Grundsatz des Art. 206 SchKG rufe. Die Anwendung von Art. 134 VZG (SR 281.42) steht nicht zur Diskussion, wenn die Betreibung auf Grundpfandverwertung wiederaufgenommen wird, wie dies hier in bundesrechtskonformer Weise geschehen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