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105</w:t>
      </w:r>
    </w:p>
    <w:p>
      <w:r>
        <w:t>Bundesgericht (BGE), 1994-01-01, DE</w:t>
      </w:r>
    </w:p>
    <w:p>
      <w:r>
        <w:rPr>
          <w:b/>
        </w:rPr>
        <w:t xml:space="preserve">Quelle: </w:t>
      </w:r>
      <w:r>
        <w:t>https://mcp.opencaselaw.ch/entscheid/bge_BGE_120_III_105</w:t>
      </w:r>
    </w:p>
    <w:p>
      <w:r>
        <w:t>FR: ATF 120 III 105</w:t>
      </w:r>
    </w:p>
    <w:p>
      <w:r>
        <w:t>IT: DTF 120 III 105</w:t>
      </w:r>
    </w:p>
    <w:p>
      <w:pPr>
        <w:pStyle w:val="Heading2"/>
      </w:pPr>
      <w:r>
        <w:t>Regeste</w:t>
      </w:r>
    </w:p>
    <w:p>
      <w:r>
        <w:t>Regeste Art. 17 ff. SchKG; Art. 41 SchKG. Wird ordentliche Betreibung auf Pfändung oder Konkurs eingeleitet anstelle der von Art. 41 Abs. 1 SchKG vorgesehenen Betreibung auf Pfandverwertung, so ist die Zustellung des Zahlungsbefehls innert der zehntägigen Frist des Art. 17 Abs. 2 SchKG anzufechten. Ebenso hat der Weiterzug innert der zehntägigen Frist der Art. 18 Abs. 1 bzw. Art. 19 Abs. 1 SchKG zu erfolgen.</w:t>
      </w:r>
    </w:p>
    <w:p>
      <w:r>
        <w:t>Regeste Art. 17 ss LP; art. 41 LP. Le débiteur contre lequel la poursuite ordinaire par voie de saisie ou de faillite est introduite en lieu et place de la poursuite en réalisation de gage prévue par l'art. 41 al. 1 LP, doit attaquer la notification du commandement de payer dans le délai de dix jours de l'art. 17 al. 2 LP. De même, il doit interjeter son recours dans le délai de dix jours de l'art. 18 al. 1, respectivement 19 al. 1 LP.</w:t>
      </w:r>
    </w:p>
    <w:p>
      <w:r>
        <w:t>Regesto Art. 17 segg. LEF; art. 41 LEF. Qualora sia avviata la procedura di esecuzione ordinaria in via di pignoramento o di fallimento invece della procedura in via di realizzazione del pegno prevista dall'art. 41 cpv. 1 LEF, la notifica del precetto esecutivo deve essere impugnata entro il termine di dieci giorni previsto dall'art. 17 cpv. 2 LEF. Anche il ricorso deve essere inoltrato entro il termine di dieci giorni dell'art. 18 cpv. 1 risp. 19 cpv. 1 LEF.</w:t>
      </w:r>
    </w:p>
    <w:p>
      <w:pPr>
        <w:pStyle w:val="Heading2"/>
      </w:pPr>
      <w:r>
        <w:t>Erwägungen</w:t>
      </w:r>
    </w:p>
    <w:p>
      <w:r>
        <w:rPr>
          <w:b/>
        </w:rPr>
        <w:t>E. 1</w:t>
      </w:r>
    </w:p>
    <w:p>
      <w:r>
        <w:t>Während die Fortsetzung der Betreibung auf dem Wege der Pfändung anstatt des Konkurses (oder umgekehrt) einen jederzeit geltend zu machenden Nichtigkeitsgrund darstellt, ist dem nicht so, wenn eine ordentliche Betreibung auf Pfändung oder Konkurs eingeleitet wird anstelle der von Art. 41 Abs. 1 SchKG vorgesehenen Betreibung auf Pfandverwertung. Die Eintreibung einer pfandgesicherten Forderung auf andere Weise als durch Pfandverwertung ist nicht ohne weiteres ungültig, sondern bloss bei der Aufsichtsbehörde anfechtbar; denn die Vorausverwertung des Pfandes ist nicht zwingend ( BGE 117 III 74 E. 1, BGE 110 III 5 E. 2 mit Hinweisen, BGE 101 III 18 E. 2a; AMONN, Grundriss des Schuldbetreibungs- und Konkursrechts, 5. Auflage Bern 1993, § 32 N. 9; FRITZSCHE/WALDER, Schuldbetreibung und Konkurs nach schweizerischem Recht, Band I, Zürich 1984, § 10 Rz. 5, § 34 A 12 ; GILLIÉRON, Poursuite pour dettes, faillite et concordat, 3. Auflage Lausanne 1993, S. 110). Das bedeutet, dass Beschwerde innert der zehntägigen Frist des Art. 17 Abs. 2 SchKG ab Zustellung des Zahlungsbefehls erhoben werden muss ( Art. 85 Abs. 2 VZG ; SR 281.42) und dass auch der Weiterzug innert der zehntägigen Frist der Art. 18 Abs. 1 bzw. Art. 19 Abs. 1 SchKG zu erfolgen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