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w:t>
      </w:r>
    </w:p>
    <w:p>
      <w:r>
        <w:t>Bundesgericht (BGE), 1994-01-01, FR</w:t>
      </w:r>
    </w:p>
    <w:p>
      <w:r>
        <w:rPr>
          <w:b/>
        </w:rPr>
        <w:t xml:space="preserve">Quelle: </w:t>
      </w:r>
      <w:r>
        <w:t>https://mcp.opencaselaw.ch/entscheid/bge_BGE_120_III_1</w:t>
      </w:r>
    </w:p>
    <w:p>
      <w:r>
        <w:t>FR: ATF 120 III 1</w:t>
      </w:r>
    </w:p>
    <w:p>
      <w:r>
        <w:t>IT: DTF 120 III 1</w:t>
      </w:r>
    </w:p>
    <w:p>
      <w:pPr>
        <w:pStyle w:val="Heading2"/>
      </w:pPr>
      <w:r>
        <w:t>Regeste</w:t>
      </w:r>
    </w:p>
    <w:p>
      <w:r>
        <w:t>Regeste Verfügung im Sinne von Art. 17 SchKG; Aufhebung einer absolut nichtigen Verfügung oder Entscheidung von Amtes wegen. Die Anzeige des Konkursamtes an die Gläubiger den Schluss des Konkursverfahrens betreffend (Art. 230 Abs. 2 und 268 Abs. 2 SchKG) bildet keine auf dem Beschwerdeweg anfechtbare Verfügung. Die Aufsichtsbehörden können nicht dazu veranlasst werden, von Amtes wegen die Nichtigkeit gerichtlicher Entscheidungen auszusprechen.</w:t>
      </w:r>
    </w:p>
    <w:p>
      <w:r>
        <w:t>Regeste Mesure au sens de l'art. 17 LP; annulation d'office d'une mesure ou décision radicalement nulle. L'avis de l'office aux créanciers concernant la clôture de la faillite (art. 230 al. 2 et 268 al. 2 LP) ne constitue pas une mesure susceptible d'être attaquée par la voie de la plainte. Les autorités de surveillance ne sauraient être requises de prononcer la nullité d'office de décisions prises par la voie judiciaire.</w:t>
      </w:r>
    </w:p>
    <w:p>
      <w:r>
        <w:t>Regesto Provvedimento ai sensi dell'art. 17 LEF; annullamento d'ufficio di un provvedimento o di una decisione radicalmente nulla. La comunicazione dell'ufficio ai creditori relativa alla chiusura del fallimento (art. 230 cpv. 2 e 286 cpv. 2 LEF) non è un provvedimento suscettibile di essere impugnato mediante reclamo. Alle autorità di vigilanza non può essere chiesto di pronunciare d'ufficio la nullità delle decisioni rese da organi giudiziari.</w:t>
      </w:r>
    </w:p>
    <w:p>
      <w:pPr>
        <w:pStyle w:val="Heading2"/>
      </w:pPr>
      <w:r>
        <w:t>Erwägungen</w:t>
      </w:r>
    </w:p>
    <w:p>
      <w:r>
        <w:rPr>
          <w:b/>
        </w:rPr>
        <w:t>E. 1</w:t>
      </w:r>
    </w:p>
    <w:p>
      <w:r>
        <w:t>Au dire de la recourante, sa plainte à l'autorité de surveillance portait clairement "sur la lettre du 5 janvier 1994, soit sur la clôture de la faillite, ... non pas sur la suspension de la faillite ou encore sur l'avance des frais". Par la lettre en question, l'office des faillites s'est borné à communiquer aux créanciers la décision de clôture de la faillite, prononcée par le juge de la faillite (art. 230 al. 2 et 268 al. 2 LP). Un tel avis, communiqué dans les formes prescrites par la loi (art. 34 LP), ne constituait pas une mesure au sens de l'art. 17 al. 1 LP, susceptible d'être attaquée par la voie de la plainte. En tant que la recourante s'en prenait à la clôture de la faillite, elle contestait une décision judiciaire contre laquelle la voie de la plainte est exclue (P.-R. GILLIÉRON, Poursuite pour dettes, faillite et concordat, 3e éd., Lausanne 1993, p. 63 ch. V, 66 et 71). A vrai dire, elle soulevait des griefs et prenait des conclusions qu'elle aurait dû articuler dans le délai de dix jours imparti par l'ordonnance du 1er novembre et arrivé à échéance le 15 novembre 1993 (cf. GILLIÉRON, op.cit., p. 321 let. C.1). La recourante a donc non seulement suivi une voie de droit inadéquate, mais encore agi tardivement. C'est en vain qu'elle invoque à ce propos le principe jurisprudentiel en vertu duquel les autorités de surveillance cantonales ou fédérale doivent, malgré la tardiveté de la plainte ou du recours, révoquer les mesures ou décisions radicalement nulles (cf. GILLIÉRON, op.cit. p. 61 et 63; AMONN, Grundriss des Schuldbetreibungs- und Konkursrechts, 5e éd., Berne 1993, § 6 n. 28 s., et les arrêts cités par ces auteurs): le principe en question ne s'applique pas aux décisions BGE 120 III 1 S. 3 qui sont prises par voie judiciaire, telles en l'occurrence la suspension de la liquidation (art. 230 al. 1 LP) et la clôture de la faillite (art. 268 al. 2 LP). L'autorité cantonale de surveillance n'a dès lors pas violé la loi en déclarant la plainte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