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400 vom 1. Januar 1994</w:t>
      </w:r>
    </w:p>
    <w:p>
      <w:r>
        <w:t>Bundesgericht (BGE), 1994-01-01, DE</w:t>
      </w:r>
    </w:p>
    <w:p>
      <w:r>
        <w:rPr>
          <w:b/>
        </w:rPr>
        <w:t xml:space="preserve">Quelle: </w:t>
      </w:r>
      <w:r>
        <w:t>https://mcp.opencaselaw.ch/entscheid/bge_BGE_120_IB_400</w:t>
      </w:r>
    </w:p>
    <w:p>
      <w:r>
        <w:t>FR: BGE BGE 120 IB 400 du 1 janvier 1994</w:t>
      </w:r>
    </w:p>
    <w:p>
      <w:r>
        <w:t>IT: BGE BGE 120 IB 400 del 1 gennaio 1994</w:t>
      </w:r>
    </w:p>
    <w:p>
      <w:pPr>
        <w:pStyle w:val="Heading2"/>
      </w:pPr>
      <w:r>
        <w:t>Regeste</w:t>
      </w:r>
    </w:p>
    <w:p>
      <w:r>
        <w:t>Regeste Rodungsbewilligung für eine Aushubdeponie; Art. 5 WaG; Art. 7 Abs. 6, 30 und 31 USG, Art. 2, 3, 9, 16, 17, 20, 21, 22, 25, 30 und 31 der Technischen Verordnung über Abfälle vom 10. Dezember 1990 (TVA) in Verbindung mit Ziff. 12 Anhang 1 und Ziff. 1 Anhang 2 TVA. Unverschmutzter Aushub ist in erster Linie für die Rekultivierung zu verwenden (E. 3d und e/aa); soll Aushub dagegen zum Zwecke der Beseitigung endgültig abgelagert werden, muss dies auf einer Inertstoffdeponie erfolgen (E. d). Zu den im Rahmen der Rodungsbewilligung zu prüfenden Anforderungen an eine Inertstoffdeponie (E. 3e) und an die Standortgebundenheit (E. 4). Verstoss gegen die Koordinationspflicht (E. 5).</w:t>
      </w:r>
    </w:p>
    <w:p>
      <w:r>
        <w:t>Regeste Autorisation de défricher pour une décharge destinée à des matériaux d'excavation; art. 5 LFo; art. 7 al. 6, 30 et 31 LPE; art. 2, 3, 9, 16, 17, 20, 21, 22, 25, 30 et 31 de l'ordonnance sur le traitement des déchets (OTD) en relation avec le ch. 12 de l'annexe 1 et le ch. 1 de l'annexe 2 OTD. Les matériaux d'excavation non pollués doivent être utilisés autant que possible à des remises en culture (consid. 3d et e/aa); s'il est néanmoins nécessaire d'en éliminer par stockage définitif, ils doivent être déposés dans une décharge pour matériaux inertes (consid. d). Exigences auxquelles est soumise l'autorisation de défricher pour une décharge de matériaux inertes (consid. 3e). L'emplacement prévu doit être imposé par la destination de cette installation (consid. 4). Violation de l'obligation de coordonner (consid. 5).</w:t>
      </w:r>
    </w:p>
    <w:p>
      <w:r>
        <w:t>Regesto Autorizzazione a dissodare per una discarica destinata a materiali di scavo; art. 5 LFo; art. 7 cpv. 6, 30 e 31 LPA; art. 2, 3, 9, 16, 17, 20, 21, 22, 25, 30 e 31 dell'ordinanza tecnica sui rifiuti (OTR) in relazione con la cifra 12 dell'allegato 1 e la cifra 1 dell'allegato 2 OTR. I materiali di scavo non inquinati devono essere riutilizzati, nella misura del possibile, per l'agricoltura (consid. 3d e e/aa); se tuttavia è necessaria la loro eliminazione con un deposito definitivo, essi devono essere depositati in una discarica per materiali inerti (consid. d). Esigenze a cui è soggetta l'autorizzazione a dissodare per una discarica per materiali inerti (consid. 3e). L'ubicazione prevista deve essere imposta dalla destinazione di questa istallazione (consid. 4). Violazione dell'obbligo di coordinazione (consid. 5).</w:t>
      </w:r>
    </w:p>
    <w:p>
      <w:pPr>
        <w:pStyle w:val="Heading2"/>
      </w:pPr>
      <w:r>
        <w:t>Erwägungen</w:t>
      </w:r>
    </w:p>
    <w:p>
      <w:r>
        <w:rPr>
          <w:b/>
        </w:rPr>
        <w:t>E. 2</w:t>
      </w:r>
    </w:p>
    <w:p>
      <w:r>
        <w:t>c) Steht die Rodung im Hinblick auf die Schaffung eines bestimmten Nutzungsplanes in Frage, so müssen das raumplanungsrechtliche und das forstpolizeiliche Verfahren koordiniert werden ( Art. 12 des Bundesgesetzes über den Wald vom 4. Oktober 1991 [WaG, SR 921.0] sowie BGE 119 Ib 397 E. 6a S. 404). Nach der bundesgerichtlichen Rechtsprechung ist ein überwiegendes Interesse an einer Waldrodung für ein öffentliches Werk erst dargetan, wenn dieses wenigstens als generelles Projekt von der zuständigen Behörde geprüft und positiv beurteilt worden ist ( BGE 119 Ib 397 E. 6a S. 404, BGE 116 Ib 469 E. 2b S. 472, BGE 113 Ib 148 E. 3b S. 152, Urteil vom 11. März 1981 in ZBl 83/1982 74 ff. E. 2a). Die richtige Anwendung von Art. 5 WaG verlangt somit die Beurteilung des Projektes als Ganzes (so schon BGE 117 Ib 325 E. 2a S. 328 f. zu Art. 26 der Verordnung betreffend die eidgenössische Oberaufsicht über die Forstpolizei [FPolV; SR 921.01] ); sie schliesst es aus, dass für die Interessenabwägung massgebende Einzelfragen separaten Verfahren vorbehalten werden. Wird bei der Beurteilung einer Rodungsbewilligung in Missachtung des Grundsatzes der umfassenden Interessenabwägung durch die nämliche Behörde ein wesentlicher Gesichtspunkt ausser acht gelassen, so liegt darin in der Regel nicht nur eine unvollständige Sachverhaltsfeststellung, sondern auch eine Verletzung des materiellen Waldrechts ( Art. 5 WaG bzw. vormals Art. 26 FPolV ; BGE 119 Ib 397 E. 6a S. 405 mit Hinweisen).</w:t>
      </w:r>
    </w:p>
    <w:p>
      <w:r>
        <w:rPr>
          <w:b/>
        </w:rPr>
        <w:t>E. 3</w:t>
      </w:r>
    </w:p>
    <w:p>
      <w:r>
        <w:t>a) Nach Angaben der Gemeinde Wittinsburg und des Kantons Basel-Stadt soll in der geplanten Deponie ausschliesslich sauberes Aushubmaterial abgelagert werden. Das BUWAL ist der Auffassung, eine derartige Aushubdeponie müsse den für Inertstoffdeponien geltenden Anforderungen an Standort, Errichtung und Abschluss (Art. 25 Abs. 1 lit. c und Art. 30 i.V. mit Anhang 2 der Technischen Verordnung über Abfälle vom 10. Dezember 1990, TVA; SR 814.015) entsprechen. Weder in der angefochtenen Rodungsbewilligung noch im Planungsverfahren seien diese Fragen geprüft worden. b) Der Kanton vertritt dagegen die Ansicht, sauberes Aushubmaterial könne, müsse aber nicht in Inertstoffdeponien abgelagert werden; deshalb müssten auch die Anforderungen der Technischen Verordnung für Abfälle an solche Deponien und die dort vorgesehene Mindestgrösse nicht erfüllt werden. Die Deponiebewilligung werde erst im Rahmen des Baubewilligungsverfahrens BGE 120 Ib 400 S. 403 erteilt und setze ihrerseits das Vorliegen einer Rodungsbewilligung voraus. Kanton und Gemeinde weisen darauf hin, dass es aus ökologischen Gründen sinnvoll sei, Aushub aus Wittinsburg in Wittinsburg abzulagern. c) Nach dem oben (E. 2c) Gesagten, ist bereits im Rahmen des Rodungsverfahrens zu klären, ob das Projekt grundsätzlich bewilligungsfähig ist; nur Detailfragen, die das generelle Projekt nicht in Frage stellen, können nachfolgenden Genehmigungsverfahren vorbehalten werden. Im folgenden ist daher zunächst zu untersuchen, ob die geplante Aushubdeponie einer Deponieerrichtungsbewilligung bedarf und wenn ja für welchen Deponietyp (E. 3d) und ob sie den hierfür gestellten Anforderungen grundsätzlich entspricht (E. 3e). d) Gemäss Art. 30 Abs. 1 USG (SR 814.01) muss der Inhaber von Abfällen diese nach den Vorschriften des Bundes und der Kantone verwerten, unschädlich machen oder beseitigen. Die Ablagerung von Abfällen darf nur auf bewilligten Deponien erfolgen ( Art. 30 Abs. 3 USG ); bewilligungspflichtig ist sowohl die Errichtung als auch der Betrieb einer Deponie für Abfälle ( Art. 30 Abs. 2 USG , Art. 21 TVA ). Gemäss Art. 32 Abs. 3 USG erlässt der Bundesrat technische und organisatorische Vorschriften über Abfallanlagen, insbesondere über Deponien. Darüber hinaus kann der Bundesrat nach Art. 32 Abs. 4 lit. c USG vorschreiben, dass bestimmte Abfälle verwertet werden, wenn dies wirtschaftlich tragbar ist und die Umwelt weniger belastet als die Beseitigung. Gestützt u.a. auf diese Bestimmungen hat der Bundesrat am 10. Dezember 1990 die Technische Verordnung über Abfälle erlassen. Gemäss Art. 2 TVA gilt die Verordnung für das Vermindern und Behandeln von Abfällen sowie für das Errichten und Betreiben von Abfallanlagen. Art. 3 TVA definiert Abfallanlagen als Anlagen, in denen Abfälle behandelt werden, d.h. in denen diese verwertet, unschädlich gemacht oder beseitigt werden. Als Deponien werden nur solche Abfallanlagen bezeichnet, in denen Abfälle endgültig und kontrolliert abgelagert werden, nicht dagegen blosse Zwischenlager. Art. 22 Abs. 1 TVA bestimmt, dass die Kantone nur drei Deponietypen bewilligen können: Inertstoffdeponien, Reststoffdeponien und Reaktordeponien (vgl. zu den drei Typen H.-P. FAHRNI, Die technische Abfallverordnung als Umsetzung des Leitbildes für die schweizerische Abfallwirtschaft, URP 1988/2 S. 125 f., P. OGGIER, Neue Deponietypen als Ausgangspunkt für zukünftige gesetzliche Regelungen, in: Umweltschutz in der Schweiz, Bulletin des BGE 120 Ib 400 S. 404 Bundesamtes für Umweltschutz, 1987 Heft 2, S. 14 ff., M. TELLENBACH, Was bringt die technische Abfallverordnung? in: Bulletin des Bundesamtes für Umweltschutz 1988/3, S. 14 f., A. TRÖSCH in: Kommentar zum Umweltschutzgesetz, Art. 30 Rz. 35 f.) Der Deponietyp ergibt sich aus den zur Ablagerung vorgesehenen Abfällen (Art. 22 Abs. 2 i.V.m. Anhang 1 TVA). "Abfälle" sind nach Art. 7 Abs. 6 USG alle beweglichen Sachen, deren sich der Besitzer entledigen will oder deren Verwertung, Unschädlichmachung oder Beseitigung im öffentlichen Interesse geboten ist. Darunter fällt unverschmutzter Aushub jedenfalls dann, wenn sich der Besitzer seiner entledigen will. Dies ist im vorliegenden Fall zu bejahen, soll das Aushubmaterial doch endgültig, zum Zweck seiner Beseitigung abgelagert werden. Gemäss Ziff. 1 von Anhang 1 TVA dürfen auf Inertstoffdeponien nur Inertstoffe und Bauabfälle abgelagert werden. "Bauabfälle" sind gemäss Art. 9 TVA die bei Bau- oder Abbrucharbeiten anfallenden Abfälle - mit Ausnahme von Sonderabfällen - die, soweit betrieblich möglich, in drei Gruppen zu trennen sind: unverschmutztes Aushub- und Abraummaterial (lit. a), Abfälle, die ohne weitere Behandlung auf Inertstoffdeponien abgelagert werden dürfen (lit. b) und andere Abfälle (lit. c). Grundsätzlich sind Bauabfälle gemäss Ziff. 12 Abs. 1 von Anhang 1 TVA auf Inertstoffdeponien abzulagern. Für unverschmutztes Aushub- und Abraummaterial bestimmt Ziff. 12 Abs. 2 Anhang 1 TVA, dass es auf Inertstoffdeponien abgelagert werden darf, soweit es nicht für Rekultivierungen verwertet werden kann. Die Verwendung des Ausdrucks "darf ... abgelagert werden" spricht auf den ersten Blick für die Rechtsauffassung des Regierungsrats, wonach unverschmutzter Aushub nicht zwingend auf einer Inertstoffdeponie abgelagert werden muss. Wie bereits oben ausgeführt wurde, kennt die TVA jedoch einen numerus clausus der Deponietypen; dabei werden an die Inertstoffdeponie als Deponie für Abfälle, die eine hohe chemische und biologische Stabilität und einen geringen Schwermetallgehalt aufweisen (A. TRÖSCH, a.a.O., Art. 30 Rz. 35) die geringsten Anforderungen gestellt. Einen besonderen Deponietyp für unverschmutztes Aushubmaterial kennt die Technische Verordnung für Abfälle - anders als die Deponierichtlinien des Eidgenössischen Amtes für Umweltschutz vom März 1976 - nicht mehr. Ziff. 12 Abs. 2 von Anhang 1 TVA ist daher nicht als Hinweis auf einen anderen Deponietyp, sondern auf den Vorrang der Verwertung vor der Ablagerung zu BGE 120 Ib 400 S. 405 verstehen: Unverschmutzter Aushub ist in erster Linie für Rekultivierungen zu verwenden (so ausdrücklich Art. 16 Abs. 3 lit. d TVA ); kann das Material nicht sofort verwertet werden, kommt eine Zwischenlagerung in Betracht. Soll Aushubmaterial dagegen endgültig abgelagert werden, so muss dies gemäss Art. 30 Abs. 3 USG auf einer Deponie geschehen; hierfür steht nach Ziff. 12 Abs. 2 Anhang 1 TVA nur die Inertstoffdeponie zur Verfügung. Auf den ersten Blick mag es widersprüchlich erscheinen, dass unverschmutztes Aushubmaterial, das beispielsweise für die Rekultivierung von Kiesgruben verwendet werden dürfte, auf einer Inertstoffdeponie abzulagern ist. Hierfür lassen sich jedoch durchaus sachliche Gründe anführen. Hinzuweisen ist auf die Probleme der Überwachung und Kontrolle, die sich bei einer auf Jahrzehnte ausgerichteten Deponie in ganz anderem Ausmass stellen als bei einer einmaligen Rekultivierung; es besteht insbesondere die Gefahr, dass unbefugte Dritte die Deponie zur Ablagerung gefährlicher Stoffe missbrauchen, für die diese nicht ausgelegt ist (vgl. auch unten, e/cc). e) Unterliegt die geplante Deponie den Bestimmungen über Inertstoffdeponien der Technischen Verordnung über Abfälle, musste die Frage, ob sie diesen Anforderungen entspricht, grundsätzlich bereits im Rahmen der für die Rodungsbewilligung erforderlichen umfassenden Interessenabwägung geprüft werden, und durfte nicht dem späteren Baubewilligungsverfahren vorbehalten werden. Voraussetzung für die Erteilung einer Deponieerrichtungsbewilligung ist gemäss Art. 25 Abs. 1 TVA insbesondere, dass der Bedarf für die Deponie nachgewiesen ist (aa) und die nach Anhang 2 für den vorgesehen Deponietyp geltenden Anforderungen erfüllt sind (bb und cc). Beide Aspekte sind auch für die Beurteilung des öffentlichen Interesses an der Rodung wesentlich: Ist bereits der Bedarf für die Deponie nicht nachgewiesen, so überwiegt das Interesse an der Walderhaltung; besteht dagegen ein Bedarf, aber erfüllt der vorgesehene Standort die in Ziff. 1 von Anhang 2 zur TVA aufgezählten Anforderungen nicht, so scheidet die Errichtung einer Deponie am vorgesehenen Standort aus, so dass kein überwiegendes Rodungsinteresse besteht. aa) Zur Bedarfsfrage führen Regierungsrat und Gemeinde aus, der bisherige Deponieplatz "Buurechrachen" sei aufgefüllt; jährlich fielen in der Gemeinde ca. 600 m3 Aushubmaterial an. Wie bereits dargelegt, soll sauberes Aushubmaterial jedoch in erster Linie zur Rekultivierung verwendet werden, anstatt auf eine Deponie zu gelangen ( Art. 16 Abs. 3 lit. d TVA ); gemäss BGE 120 Ib 400 S. 406 Art. 16 Abs. 3 lit. a TVA hat generell die Verwertung Vorrang vor der Beseitigung. Der Bedarfsnachweis ist daher erst erbracht, wenn dargelegt werden kann, dass keine anderweitige Verwertung des Aushubmaterials möglich ist und auch eine Zwischenlagerung nicht in Betracht kommt. Dabei darf sich der Kanton nicht darauf beschränken, nur den Bedarf der Gemeinde Wittinsburg zu berücksichtigen; vielmehr ist er gemäss Art. 31 USG für die Planung und Koordinierung der Abfallpolitik im Kanton zuständig sowie zur Zusammenarbeit mit anderen Kantonen verpflichtet. Die Planungspflicht des Kantons umfasst nach Art. 16 Abs. 2 lit. f TVA u.a. auch die Frage der Verwertung von Aushub. Es müssen demnach auch Verwertungsmöglichkeiten in anderen Kantonsteilen und möglicherweise sogar ausserhalb des Kantons in Betracht gezogen werden, wenn für die jährlich in Wittinsburg anfallenden 600 m3 in der Gemeinde selbst oder in der näheren Umgebung keine Verwendung gefunden werden kann. Diese Fragen wurden in den Erwägungen der Rodungsbewilligung nicht behandelt. bb) Die Regierung ging davon aus, dass die geplante Deponie nicht den nach Anhang 2 für Inertstoffdeponien geltenden Anforderungen unterliege; dementsprechend wurde die Frage, ob der vorgesehene Standort diese Kriterien erfüllt, auch nicht ausreichend geprüft. Zwar verweist der Regierungsrat in seinen Erwägungen auf die positiven Stellungnahmen der zuständigen Behörden und stellt fest, dass erhebliche Gefährdungen der Umwelt nicht zu erwarten seien; in seiner Vernehmlassung beruft sich der Regierungsrat darauf, dass Fachleute des Amtes für Umweltschutz und Energie bei der Standortbegehung zugegen gewesen seien und sich dabei gezeigt habe, dass der neue Standort den Anforderungen des Umweltschutzes entspreche. Der fragliche Augenschein wurde jedoch vor allem unter dem Aspekt der möglichsten Schonung der Chambergräben durchgeführt. Aus den Akten geht nicht hervor, dass der neue Standort auf die in Anhang 2 der TVA vorgeschriebenen Kriterien untersucht worden wäre: Soweit ersichtlich wurden weder Baugrunduntersuchungen noch Setzungsberechnungen gemäss Ziff. 1 Abs. 2 Anhang 2 TVA durchgeführt noch geologische oder hydrogeologische Untersuchungen gemacht, um die nach Ziff. 1 Abs. 4 und 5 Anhang 2 TVA auch für Inertstoffdeponien erforderlichen Nachweise zu erbringen (vgl. Ziff. 1 Abs. 6 S. 2 Anhang 2 TVA). Solche Untersuchungen erscheinen im vorliegenden Fall besonders wichtig, hatte doch der BNBL seine Einsprache gegen die Deponie in den Chambergräben mit Hinweis auf BGE 120 Ib 400 S. 407 eine mögliche Verschmutzung des Grundwasserstromes des Homburgertals begründet, aus dem auch die Gemeinde Wittinsburg ihr Trinkwasser beziehe. Es ist, soweit aus den Akten ersichtlich, nicht abgeklärt worden, ob diese Gefahr beim neuen Standort ausgeschlossen werden kann. Die positiven Stellungnahmen der kantonalen Ämter zur Zonenplanmutation der Gemeinde beschränken sich auf die Feststellung, dass die Änderung der am Augenschein getroffenen Vereinbarung entspreche, ohne sich zur Genehmigungsfähigkeit der Deponie zu äussern. cc) Darüber hinaus unterschreitet die geplante Deponie mit 12'000 m3 (bzw. 15'300 m3 einschliesslich des Abschlusses in den Chambergräben) die nach Art. 31 Abs. 1 TVA vorgeschriebene Mindestgrösse für Inertstoffdeponien von 100'000 m3 ganz erheblich. Zwar kann der Kanton gemäss Art. 31 Abs. 2 TVA Deponien mit geringerem Volumen genehmigen, wenn dies aufgrund der geographischen Gegebenheiten sinnvoll ist. Dabei darf jedoch Sinn und Zweck der Mindestgrössenbestimmung nicht ausser acht gelassen werden: Art. 31 Abs. 1 TVA beruht auf schlechten Erfahrungen, die in der Vergangenheit gerade mit Kleinstdeponien für Aushub und Bauschutt gemacht wurden (vgl. P. OGGIER, a.a.O., S. 13). Es zeigte sich, dass die bei Inertstoffdeponien im Vordergrund stehende rigorose Kontrolle und Überwachung der abzulagernden Abfälle regelmässig die Möglichkeiten einer Gemeinde übersteigen. Der Verordnungsgeber ging deshalb davon aus, dass auch Inertstoffdeponien grundsätzlich auf regionaler Basis zu realisieren seien (P. OGGIER, a.a.O., S. 16; P. LAVANCHY, Les décharges contrôlées: une base indispensable de l'économie des déchets, in: Défis des déchets, hrsg. von Peter Knoepfel und Helmut Weidner, Basel/Frankfurt a.M. 1992, S. 81). Vor diesem Hintergrund genügt es - jedenfalls bei erheblicher Unterschreitung der Mindestgrösse - nicht, auf die geographischen Verhältnisse der Gemeinde Wittinsburg zu verweisen. Vielmehr muss der Kanton in solchen Fällen schon bei der Standortfestlegung das Konzept einer Gemeinde- statt einer regionalen Deponie rechtfertigen, die geographischen Verhältnisse der gesamten Region in die Prüfung miteinbeziehen (vgl. hierzu auch E. 4) und darlegen, inwiefern die Gemeinde fähig und bereit ist, einen kontrollierten Deponiebetrieb im Sinne der Technischen Verordnung für Abfälle (vgl. Art. 34 TVA ) zu gewährleisten.</w:t>
      </w:r>
    </w:p>
    <w:p>
      <w:r>
        <w:rPr>
          <w:b/>
        </w:rPr>
        <w:t>E. 4</w:t>
      </w:r>
    </w:p>
    <w:p>
      <w:r>
        <w:t>a) Das BUWAL macht darüber hinaus geltend, die Standortgebundenheit der Deponie gemäss Art. 5 Abs. 2 lit. a WaG sei nicht nachgewiesen worden. Alle von der Gemeinde diskutierten Standortvarianten hätten im Waldareal BGE 120 Ib 400 S. 408 gelegen, während Grundstücke ausserhalb des Waldes nicht in die Abwägung miteinbezogen worden seien. Im übrigen hätte dem Umstand Rechnung getragen werden müssen, dass angesichts der geforderten Mindestgrösse von 100'000 m3 Standorte für neue Inertstoffdeponien in erster Linie auf regionaler Ebene zu suchen seien. b) Die Gemeinde behauptet dagegen, die Abklärung über mögliche Auffüllungen und Meliorationen ausserhalb des Waldgebietes sei schon in den Jahren 1975 bis 1992 mit der Durchführung der Felderregulierung erfolgt. Schon damals seien die Chambergräben zu Deponiezwecken bestimmt worden. Der Kanton macht geltend, aus der Sicht des Landschaftsschutzes scheide eine Aufschüttung auf anderen Teilen des Gemeindegebietes aus: Der Gemeindebann umfasse einen Teil der Hochfläche, die bewaldeten Abhänge gegen das Homburgertal sowie Bereiche der Talebene (ehemalige Wassermatten). Die Hochfläche werde ackerbaulich genutzt; die Landwirtschaftsflächen gälten weitgehend als Fruchtfolgeflächen. Von Natur aus fehlten hier Geländemulden, die sich als Deponiestandorte eignen würden. Aushubmaterial liesse sich deshalb nur terrassenartig oder zu Hügeln aufschütten. Dies würde nicht nur wertvolle Ackerböden zerstören, sondern auch die weitgehend unversehrte Tafeljura-Landschaft massiv verändern. Da es gegen den gewählten Standort weder forst- noch umwelt- oder naturschützerische Einwände gebe, dränge sich die Suche nach einer Regionaldeponie nicht auf. Im Gegenteil: bei Regionaldeponien mit einer Mindestgrösse von 100'000 m3 seien die landschaftsverändernden bzw. landschaftsbeeinträchtigenden Auswirkungen wesentlich grösser, vor allem wenn man die längeren Transportwege berücksichtige. Gut geführte, dezentrale Aushubdeponien seien auch aus naturschützerischer Sicht wo möglich einer regionalen Grossdeponie vorzuziehen. c) Nach Art. 5 Abs. 2 lit. a WaG muss ein Werk, für das eine waldrechtliche Ausnahmebewilligung beansprucht wird, auf den vorgesehenen Standort angewiesen sein. Die Standortgebundenheit ist nicht in einem absoluten Sinne aufzufassen, besteht doch fast immer eine gewisse Wahlmöglichkeit. Entscheidend ist, ob die Gründe der Standortwahl die Interessen der Walderhaltung überwiegen ( BGE 117 Ib 325 E. 2 S. 327 mit Hinweis). Die Bejahung der relativen Standortgebundenheit setzt indessen ebenfalls voraus, dass eine umfassende Abklärung von Alternativstandorten stattgefunden hat ( BGE 119 Ib 397 E. 6a S. 405). BGE 120 Ib 400 S. 409 Es mag sein, dass in Wittinsburg, wie von Kanton und Gemeinde vorgetragen, nur der Wald als Deponiestandort in Betracht kommt. Unzureichend erscheint die Abklärung von Alternativstandorten allerdings, sofern Gemeinde und Kanton von vornherein ausschliesslich einen Standort auf Gemeindegebiet in Aussicht nahmen. Zum einen sieht Ziff. 6.5 der Rodungsbewilligung vor, dass bei Bedarf auch Aushub aus benachbarten Gemeinden in Wittinsburg abgelagert werden könne. Dann aber hätte es sich aufgedrängt, zumindest auch die in Betracht kommenden Nachbargemeinden in die Standortauswahl miteinzubeziehen. Zum anderen ist der Kanton nach Art. 31 Abs. 4 USG , Art. 15 ff. TVA zur Abfallplanung verpflichtet (vgl. hierzu A. TRÖSCH, a.a.O., Art. 31 Rn. 41 ff.); er bestimmt die Standorte der Abfallanlagen, insbesondere der Deponien und weist diese in seiner Richtplanung aus ( Art. 17 TVA ). Dies gilt generell für alle Deponien, d.h. auch für Inertstoffdeponien mit ungefährlichen Abfällen (DANIEL VOGEL, Pflicht zur räumlichen Planung von Abfalldeponien gemäss Art. 31 Abs. 4 USG unter besonderer Berücksichtigung des Zürcher Rechts, Dissertation Zürich, 1990, S. 50 f.). Daraus folgt, dass die Abfallplanung einschliesslich der Standortauswahl grundsätzlich auf Kantonsebene erfolgen soll. Für eine regional angelegte, zentrale Abfallpolitik spricht auch die von Art. 31 Abs. 1 TVA für Inertstoffdeponien vorgeschriebene Mindestgrösse von 100'000 m3 (vgl. oben, E. 3 e/cc). Werden Alternativstandorte nur innerhalb eines engen, lokalen Rahmens gesucht, kommen naturgemäss nur wenige Deponiestandorte überhaupt in Betracht, und es besteht die Gefahr einer Absenkung der Eignungsanforderungen. In der Abwägung zwischen mehreren in Betracht kommenden Deponiestandorten steht es dem Kanton frei, besonderes Gewicht auf die von ihm genannten Kriterien (insbesondere die Vermeidung langer Transportwege) zu legen; diese rechtfertigen es jedoch nicht, von vornherein auf die Ermittlung von Alternativstandorten zu verzichten. Auch unter diesem Gesichtspunkt erweist sich die Interessenabwägung somit als unvollständig.</w:t>
      </w:r>
    </w:p>
    <w:p>
      <w:r>
        <w:rPr>
          <w:b/>
        </w:rPr>
        <w:t>E. 5</w:t>
      </w:r>
    </w:p>
    <w:p>
      <w:r>
        <w:t>Da für die Beurteilung des Deponieprojekts wesentliche Fragen in der Rodungsbewilligung nicht hinreichend abgeklärt wurden, beruht diese nicht auf einer umfassenden Interessenabwägung nach Art. 5 WaG . Damit liegt zugleich ein Verstoss gegen die Koordinationspflicht vor. Nach gefestigter bundesgerichtlicher Rechtsprechung (vgl. BGE 116 Ib 50 E. 4 S. 56 ff.; BGE 117 Ib 35 E. 3e S. 39 f., 42 E. 4a S. 48 f., 178 E. 6 S. 195 f., 325 E. 2b S. BGE 120 Ib 400 S. 410 329 f.; BGE 119 Ib 174 E. 4 S. 178)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Diese Koordinationspflicht ergibt sich in erster Linie aus den materiellen bundesrechtlichen Gesetzes- und Verordnungsbestimmungen, die eine koordinierte Rechtsanwendung entweder ausdrücklich vorschreiben oder voraussetzen, weil sie eine umfassende, den jeweiligen Fachbereich überschreitende Interessenabwägung gebieten (vgl. BGE 117 Ib 35 E. 3e S. 39 f.). Für den vorliegenden Fall sind neben Art. 5 WaG insbesondere Art. 30 USG und Art. 14 ff. RPG (SR 700) zu nennen, die sowohl bei der Rodungsbewilligung als auch im Abfallrecht und im Rahmen der Nutzungsplanung eine Gesamtschau und Abwägung aller relevanten Umstände voraussetzen. Für Deponien ergibt sich die Pflicht zur materiellen Koordination nunmehr ausdrücklich aus Art. 20 TVA : Danach koordinieren die Kantone in ihrem Zuständigkeitsbereich sämtliche für Bau oder Betrieb von Abfallanlagen erforderlichen Bewilligungsverfahren, insbesondere für die Raumplanungs-, Rodungs- und Gewässerschutzbewilligung, die Bewilligungen nach dem Arbeitsgesetz, der Verordnung über den Verkehr mit Sonderabfällen sowie die Deponieerrichtungs- und -betriebsbewilligung (vgl. hierzu THEO LORETAN, Die Koordination der Verfahren mit besonderer Berücksichtigung der Planung von Abfallanlagen, in: Raumplanungsgruppe Nordostschweiz, Informationsblatt 3/1992, S. 33 ff., insbesondere 39 ff.). Darüber hinaus schreibt Art. 12 WaG die Koordination des forstrechtlichen und des raumplanungsrechtlichen Verfahrens vor (vgl. oben, E. 2c). Im vorliegenden Fall wird diese materiellrechtliche Koordination durch den Umstand begünstigt, dass die wesentlichen Kompetenzen bei kantonalen Behörden liegen, die sowohl für die Genehmigung der Zonenplanänderung der Gemeinde Wittinsburg und die Erteilung der Bau- bzw. Deponieerrichtungsbewilligung als auch für die Rodungsbewilligung gemäss Art. 6 Abs. 1 lit. a WaG zuständig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