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183 vom 1. Januar 1994</w:t>
      </w:r>
    </w:p>
    <w:p>
      <w:r>
        <w:t>Bundesgericht (BGE), 1994-01-01, FR</w:t>
      </w:r>
    </w:p>
    <w:p>
      <w:r>
        <w:rPr>
          <w:b/>
        </w:rPr>
        <w:t xml:space="preserve">Quelle: </w:t>
      </w:r>
      <w:r>
        <w:t>https://mcp.opencaselaw.ch/entscheid/bge_BGE_120_IB_183</w:t>
      </w:r>
    </w:p>
    <w:p>
      <w:r>
        <w:t>FR: BGE BGE 120 IB 183 du 1 janvier 1994</w:t>
      </w:r>
    </w:p>
    <w:p>
      <w:r>
        <w:t>IT: BGE BGE 120 IB 183 del 1 gennaio 1994</w:t>
      </w:r>
    </w:p>
    <w:p>
      <w:pPr>
        <w:pStyle w:val="Heading2"/>
      </w:pPr>
      <w:r>
        <w:t>Regeste</w:t>
      </w:r>
    </w:p>
    <w:p>
      <w:r>
        <w:t>Regeste Rechtshilfe; Art. 22 IRSG; Beschwerde gegen die einer Bank zugestellte Verfügung. Die Beschwerdefrist beginnt zu laufen, sobald der Betroffene von einer auf ihn bezugnehmenden Verfügung tatsächlich Kenntnis erhält, selbst wenn ihm gegenüber eine formelle Eröffnung nicht erfolgt ist. Dies ist grundsätzlich der Fall, wenn eine Rechtshilfeverfügung einer Bank zugestellt wird und wenn diese ihren Kunden darüber informiert (E. 3a). Indem die Behörde auf die Beschwerde wegen Verspätung nicht eingetreten ist, hat sie weder das IRSG (E. 3b) noch das Verbot des überspitzten Formalismus verletzt (E. 3c).</w:t>
      </w:r>
    </w:p>
    <w:p>
      <w:r>
        <w:t>Regeste Entraide judiciaire; art. 22 EIMP; recours contre une décision notifiée à un établissement bancaire. Le délai de recours commence à courir, même en l'absence d'une notification formelle, lorsque l'intéressé a effectivement connaissance d'une décision le concernant; tel est le cas en principe lorsqu'une décision relative à l'entraide judiciaire est notifiée à une banque et que celle-ci en fait part à son client (consid. 3a). En déclarant le recours cantonal irrecevable car tardif, l'autorité n'a violé ni l'EIMP (consid. 3b), ni l'interdiction du formalisme excessif (consid. 3c).</w:t>
      </w:r>
    </w:p>
    <w:p>
      <w:r>
        <w:t>Regesto Assistenza giudiziaria; art. 22 AIMP; ricorso contro una decisione notificata a un istituto bancario. Il termine di ricorso inizia a decorrere, anche in assenza di una notificazione formale, quando l'interessato ha effettivamente conoscenza di una decisione che lo concerne; ciò è il caso, di massima, quando una decisione relativa all'assistenza giudiziaria è notificata a una banca e questa ne informa il suo cliente (consid. 3a). Dichiarando irricevibile, poiché tardivo, il ricorso cantonale, l'autorità non ha violato né l'AIMP (consid. 3b), né il divieto di formalismo eccessivo (consid. 3c).</w:t>
      </w:r>
    </w:p>
    <w:p>
      <w:pPr>
        <w:pStyle w:val="Heading2"/>
      </w:pPr>
      <w:r>
        <w:t>Erwägungen</w:t>
      </w:r>
    </w:p>
    <w:p>
      <w:r>
        <w:rPr>
          <w:b/>
        </w:rPr>
        <w:t>E. 1</w:t>
      </w:r>
    </w:p>
    <w:p>
      <w:r>
        <w:t>b) Aux termes de l'art. 25 al. 1 de la loi fédérale sur l'entraide internationale en matière pénale (EIMP), le recours de droit administratif est ouvert contre les décisions rendues, comme en l'espèce, en dernière instance cantonale (art. 33 al. 1 de la loi genevoise d'application du code pénal et d'autres lois fédérales en matière pénale). Interjetés dans les BGE 120 Ib 183 S. 186 formes et délai utiles, les recours sont recevables sous l'angle des art. 106 à 108 OJ. Ils le sont aussi au regard de l' art. 103 let. a OJ car, dans une procédure régie comme en l'espèce par le droit fédéral, l'auteur d'un recours déclaré irrecevable, pour défaut de qualité ou pour tardiveté (les dispositions du droit cantonal de procédure relatives au délai de recours et à la notification des décisions apparaissent comme des dispositions d'exécution du droit administratif fédéral), a qualité pour contester ce prononcé par la voie du recours de droit administratif ( ATF 119 Ib 59 consid. 1 et la jurisprudence citée). Comme on le verra, point n'est besoin de rechercher si les recourants ont également, au regard de l' art. 21 al. 3 EIMP , la qualité pour recourir sur le fond contre l'octroi de l'entraide judiciaire.</w:t>
      </w:r>
    </w:p>
    <w:p>
      <w:r>
        <w:rPr>
          <w:b/>
        </w:rPr>
        <w:t>E. 2</w:t>
      </w:r>
    </w:p>
    <w:p>
      <w:r>
        <w:t>Comme le recourant X. le relève incidemment - sans indiquer toutefois s'il s'agit d'un grief distinct -, la décision attaquée ne comporte pas l'indication des voies de recours. Cela ne porte pas à conséquence car, même si, selon les termes de l' art. 22 al. 1 EIMP , les décisions rendues par les autorités fédérales et cantonales ne sont valables que dans la mesure où elles indiquent les possibilités de recours, l'adjectif "valable" ne doit pas être pris à la lettre mais doit être interprété selon le but de cette disposition, équivalent à celui des art. 35 et 38 PA (RS 172.021)( ATF 113 Ib 267 consid. 4a). En l'occurrence, les deux recourants ont saisi le Tribunal fédéral en temps utile et ne subissent aucun préjudice.</w:t>
      </w:r>
    </w:p>
    <w:p>
      <w:r>
        <w:rPr>
          <w:b/>
        </w:rPr>
        <w:t>E. 3</w:t>
      </w:r>
    </w:p>
    <w:p>
      <w:r>
        <w:t>La Chambre d'accusation a considéré que les deux recours étaient tardifs; les recourants, informés par la banque des décisions rendues par le juge d'instruction, avaient omis d'agir dans le délai de dix jours prévu par le droit cantonal. Les recourants soutiennent qu'en l'absence d'une notification formelle, le délai de recours ne pouvait courir; la solution adoptée par la cour cantonale heurterait la sécurité du droit et forcerait les intéressés à recourir sans connaître les motifs de la décision. a) Comme le relève la cour cantonale, la communication d'une décision à l'établissement bancaire ne vaut pas, en soi, communication aux titulaires de comptes ou aux autres personnes éventuellement touchées par la demande. A défaut d'être désignée comme domicile de notification au sens de l' art. 9 OEIMP (RS 351.11), la banque n'apparaît en effet pas comme le représentant de ses clients vis-à-vis de l'autorité, de sorte que le délai de recours ne commence à courir qu'à partir du moment où les intéressés ont effectivement connaissance de l'existence d'une décision les concernant, par exemple BGE 120 Ib 183 S. 187 lorsque la banque les informe des investigations menées par l'autorité ou des autres mesures coercitives prises à leur encontre ( ATF 113 Ib 168 consid. 6, arrêt non publié du 17 novembre 1993 en la cause A.). Contrairement à ce que soutiennent les recourants, le délai de recours peut ainsi commencer à courir, même en l'absence de notification formelle, lorsqu'il est établi qu'à une certaine date les intéressés ont eu une connaissance suffisante de l'existence d'une demande d'entraide judiciaire les concernant. C'est bien la solution inverse qui engendrerait des incertitudes incompatibles avec les nécessités de l'entraide judiciaire, car elle permettrait aux personnes touchées par une demande d'entraide de remettre en cause toutes les décisions déjà rendues en exigeant après coup leur notification formelle, bien qu'elles en aient eu connaissance. A cet égard, l'attention qu'on peut attendre de la personne concernée dépend de la situation dans laquelle elle se trouve et de la nature de la décision en question ( ATF 119 Ib 64 et les arrêts cités). En matière d'entraide judiciaire, les décisions favorables à l'entraide, rendues dans l'Etat requis, sont par nature destinées à une exécution rapide; aussi peut-on attendre de la personne concernée, qui entend s'y opposer, une diligence particulière pour se manifester. Par ailleurs,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On peut dès lors considérer, en règle générale, que le client a une connaissance suffisante de la décision lorsqu'il en est informé par la banque. b) Par lettres du 29 décembre 1993, les avocats genevois de chacun des recourants ont indiqué avoir été informés par la banque genevoise de l'existence de la commission rogatoire française et des deux ordonnances, d'entrée en matière et de clôture. Ils demandaient la notification de ces deux décisions, et déclaraient leur intention de recourir. Le juge d'instruction a fait suite à leurs demandes de notification, relevant toutefois que, compte tenu des incertitudes liées à l'obligation de notifier, la recevabilité des recours était "réservée". Il est donc établi que le 29 décembre 1993 au plus tard, les recourants et leurs avocats à Genève connaissaient de manière certaine l'existence d'une demande d'entraide et des décisions d'exécution. Ces dernières leur étaient accessibles auprès de la banque, et contenaient tous les éléments qui leur permettaient de procéder. Il était donc alors possible aux recourants de saisir la Chambre d'accusation afin de sauvegarder leurs droits et, s'ils BGE 120 Ib 183 S. 188 n'avaient pu le faire auparavant, de demander l'accès au dossier puis de compléter leurs recours. Formés le 31 janvier 1994, ceux-ci étaient donc tardifs. Les recourants ont certes manifesté leur intention de recourir, mais des réserves ou des déclarations d'intention ne sauraient remplacer le dépôt de recours formels ( ATF 116 Ib 91 consid. 1b). c) Les recourants se prévalent de l'interdiction du formalisme excessif, et de la protection de la bonne foi. Selon eux, le juge d'instruction avait le devoir, à réception de leurs lettres, soit de les transmettre directement à l'autorité de recours, soit d'inviter les recourants à saisir eux-mêmes la Chambre d'accusation. Même si l'intention de saisir cette autorité y est clairement exprimée, on ne saurait assimiler les actes du 29 décembre 1993 à des recours; ceux-ci ne contenant ni motivation, ni conclusions, on ne pouvait exiger ni du juge d'instruction qu'il les transmette directement à la Chambre d'accusation, ni de celle-ci qu'elle les traite par la suite comme recours. Par ailleurs, si l'autorité a, dans certaines circonstances, le devoir d'informer d'office le plaideur qui s'apprête à commettre un vice de procédure, encore faut-il que le vice soit aisément reconnaissable et qu'il puisse être réparé à temps ( ATF 114 Ia 22 consid. 2 et les arrêts cités). Tel n'était pas le cas en l'espèce: compte tenu des remarques qui précèdent et des incertitudes manifestées par la suite par le juge d'instruction lui-même, le caractère tardif des recours que se proposaient de former les recourants n'apparaissait pas évident. Par ailleurs, ceux-ci étaient d'ores et déjà représentés à Genève par des avocats qui pouvaient, dans le doute, accomplir les actes nécessaires à la sauvegarde des droits de leurs clients. X. soutient enfin qu'il pouvait de bonne foi, sur le vu de la réponse du juge d'instruction, penser que son recours serait déposé en temps utile; il se fonde toutefois à tort sur la considération que la réserve émise par le juge d'instruction ne concernait que la qualité pour recourir. Les doutes émis par le magistrat quant à l'obligation de notifier ses décisions doivent au contraire être compris comme se rapportant à l'écoulement du délai de recours; on ne saurait en aucun cas y voir une assurance de l'autorité quant au respect de ce délai. De toute manière, cette lettre du juge, du 18 janvier 1994, ne pouvait faire courir à nouveau un délai de recours déjà expiré. En déclarant les recours cantonaux irrecevables, la Chambre d'accusation n'a donc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