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431</w:t>
      </w:r>
    </w:p>
    <w:p>
      <w:r>
        <w:t>Bundesgericht (BGE), 1993-01-01, DE</w:t>
      </w:r>
    </w:p>
    <w:p>
      <w:r>
        <w:rPr>
          <w:b/>
        </w:rPr>
        <w:t xml:space="preserve">Quelle: </w:t>
      </w:r>
      <w:r>
        <w:t>https://mcp.opencaselaw.ch/entscheid/bge_BGE_119_V_431</w:t>
      </w:r>
    </w:p>
    <w:p>
      <w:r>
        <w:t>FR: ATF 119 V 431</w:t>
      </w:r>
    </w:p>
    <w:p>
      <w:r>
        <w:t>IT: DTF 119 V 431</w:t>
      </w:r>
    </w:p>
    <w:p>
      <w:pPr>
        <w:pStyle w:val="Heading2"/>
      </w:pPr>
      <w:r>
        <w:t>Regeste</w:t>
      </w:r>
    </w:p>
    <w:p>
      <w:r>
        <w:t>Regeste Art. 47 Abs. 2 AHVG, Art. 85 Abs. 2 und Art. 88bis Abs. 2 lit. b IVV: Rückerstattungspflicht. Im Bereich der Invalidenversicherung erfolgt die Leistungsanpassung aus IV-spezifischen Gesichtspunkten grundsätzlich mit Wirkung ex nunc; liegt dagegen eine Meldepflichtverletzung vor, so geschieht die Leistungsanpassung auch insofern rückwirkend (Erw. 2). Art. 47 Abs. 2 Satz 1 AHVG in Verbindung mit Art. 49 IVG: Verwirkung des Rückforderungsanspruchs. Als Folge der Verpflichtung, einen Vorbescheid zu erlassen, wird im Invalidenversicherungsrecht die einjährige Verwirkungsfrist durch den Erlass eines Vorbescheides im Sinne von Art. 73bis IVV gewahrt (Erw. 3b; Änderung der Rechtsprechung). Art. 47 Abs. 2 AHVG, Art. 85 Abs. 2 und Art. 88bis Abs. 2 lit. b IVV: Dauer der Rückerstattungspflicht. Die Rückerstattungspflicht entfällt in der Regel ab dem der verspäteten Meldung folgenden Monat (Erw. 4).</w:t>
      </w:r>
    </w:p>
    <w:p>
      <w:r>
        <w:t>Regeste Art. 47 al. 2 LAVS, art. 85 al. 2 et art. 88bis al. 2 let. b RAI: obligation de restituer. Dans le cadre de l'assurance-invalidité, la modification de la prestation d'assurance, lorsqu'elle a lieu parce que se posent des questions spécifiques du droit de l'assurance-invalidité, intervient en principe avec effet ex nunc; s'il y a en revanche violation de l'obligation de renseigner, la modification de la prestation d'assurance a, dans cette mesure, un effet rétroactif (consid. 2). Art. 47 al. 2 première phrase LAVS en corrélation avec l'art. 49 LAI: péremption du droit de demander la restitution. L'obligation de communiquer un projet de règlement du cas a pour conséquence qu'en droit de l'assurance-invalidité, le délai de péremption d'une année est sauvegardé par le prononcé d'un projet de règlement du cas au sens de l'art. 73bis RAI (consid. 3b; changement de jurisprudence). Art. 47 al. 2 LAVS, art. 85 al. 2 et art. 88bis al. 2 let. b RAI: durée de l'obligation de restituer. Cette obligation s'éteint en règle générale dès le mois suivant l'annonce tardive (consid. 4).</w:t>
      </w:r>
    </w:p>
    <w:p>
      <w:r>
        <w:t>Regesto Art. 47 cpv. 2 LAVS, art. 85 cpv. 2 e art. 88bis cpv. 2 lett. b OAI: obbligo di restituzione. Nell'ambito dell'assicurazione invalidità l'adeguamento della prestazione ha di principio effetto ex nunc per motivi specifici della legislazione sull'assicurazione invalidità; sussiste invece violazione dell'obbligo d'informare, l'adeguamento della prestazione interviene anche con effetto retroattivo (consid. 2). Art. 47 cpv. 2 prima frase LAVS in relazione con l'art. 49 LAI: perenzione del diritto di chiedere la restituzione. L'obbligo di notificare un progetto di decisione ha per conseguenza che nel diritto dell'assicurazione per l'invalidità il termine di perenzione di un anno viene salvaguardato con la resa del progetto di liquidazione del caso ai sensi dell'art. 73bis OAI (consid. 3b; modificazione della giurisprudenza). Art. 47 cpv. 2 LAVS, art. 85 cpv. 2 e art. 88bis cpv. 2 lett. b OAI: durata dell'obbligo di restituzione. Di regola l'obbligo di restituzione si estingue a partire dal mese successivo alla comunicazione tardiva (consid. 4).</w:t>
      </w:r>
    </w:p>
    <w:p>
      <w:pPr>
        <w:pStyle w:val="Heading2"/>
      </w:pPr>
      <w:r>
        <w:t>Erwägungen</w:t>
      </w:r>
    </w:p>
    <w:p>
      <w:r>
        <w:rPr>
          <w:b/>
        </w:rPr>
        <w:t>E. 2</w:t>
      </w:r>
    </w:p>
    <w:p>
      <w:r>
        <w:t>Nach Art. 47 Abs. 1 Satz 1 AHVG sind unrechtmässig bezogene Leistungen (Renten- und Hilflosenentschädigungen) zurückzuerstatten. AHV-rechtlich erfolgt somit die Leistungsanpassung grundsätzlich rückwirkend (ex tunc). Art. 49 IVG erklärt diese Gesetzesbestimmung im Bereich der Invalidenversicherung für sinngemäss anwendbar. Daneben kennt das Invalidenversicherungsrecht selber Bestimmungen, welche eine Leistungsanpassung grundsätzlich bloss mit Wirkung ex nunc et pro futuro vorsehen ( Art. 85 Abs. 2 IVV ). Eine Ausnahme besteht dann, wenn der Tatbestand der Verletzung der Meldepflicht gemäss Art. 77 IVV erfüllt ist; in einem solchen Fall geschieht die Leistungsanpassung ebenfalls rückwirkend ( Art. 85 Abs. 2 und Art. 88bis Abs. 2 lit. b IVV ) mit der Folge, dass zuviel bezogene Leistungen zurückzuerstatten sind. Es stellte sich daher für die Rechtsprechung die Frage, wie die beiden Gruppen von Rückerstattungsnormen im Bereich der Invalidenversicherung miteinander in Einklang zu bringen sind. Das Wort "sinngemäss" in Art. 49 IVG bot die Grundlage, die Einteilung in AHV-analoge und IV-spezifische Gesichtspunkte vorzunehmen ( BGE 105 V 163 , bestätigt in BGE 110 V 14 Erw. 2a, BGE 107 V 81 Erw. 4b und 37 Erw. 2a): Bezüglich der ersten erfolgt eine rückwirkende Leistungsanpassung (z.B. fehlende Versicherteneigenschaft, falsche Rentenberechnung usw.); bezüglich der zweiten gilt der Grundsatz der Leistungsanpassung mit Wirkung ex nunc (alle Tatsachenänderungen, die im Bereich des Invaliditätsgrades von Bedeutung sind), vorbehältlich der eben erwähnten Meldepflichtverletzung. Vorliegend geht es um einen IV-spezifischen Leistungsgesichtspunkt. Eine rückwirkende Rentenherabsetzung kommt daher nur in Frage, wenn der Beschwerdeführer seiner Meldepflicht nicht nachgekommen ist ( Art. 77 IVV in Verbindung mit Art. 88bis Abs. 2 lit. b IVV ). Dieser Tatbestand ist in casu erfüllt, was in der Verwaltungsgerichtsbeschwerde, im Unterschied zum vorinstanzlichen Verfahren, zu Recht nicht mehr bestritten wird.</w:t>
      </w:r>
    </w:p>
    <w:p>
      <w:r>
        <w:rPr>
          <w:b/>
        </w:rPr>
        <w:t>E. 3</w:t>
      </w:r>
    </w:p>
    <w:p>
      <w:r>
        <w:t>Der Beschwerdeführer lässt indes geltend machen, der Rückforderungsanspruch sei verjährt. BGE 119 V 431 S. 433 a) Nach Art. 47 Abs. 2 Satz 1 AHVG (im Gebiet der Invalidenversicherung gestützt auf Art. 49 IVG ebenfalls sinngemäss anwendbar) verjährt der Rückforderungsanspruch mit dem Ablauf eines Jahres, nachdem die Ausgleichskasse davon Kenntnis erhalten hat, spätestens aber mit dem Ablauf von fünf Jahren seit der einzelnen Rentenzahlung. Bei diesen Fristen handelt es sich um Verwirkungsfristen ( BGE 112 V 181 Erw. 4a, BGE 111 V 135 ; ZAK 1989 S. 559 Erw. 4b). Unter dem Ausdruck "nachdem die Ausgleichskasse davon Kenntnis erhalten hat" ist der Zeitpunkt zu verstehen, in welchem die Verwaltung bei Beachtung der ihr zumutbaren Aufmerksamkeit hätte erkennen müssen, dass die Voraussetzungen für eine Rückerstattung bestehen ( BGE 112 V 181 Erw. 4a, BGE 110 V 307 ; ZAK 1989 S. 559 Erw. 4b). Ist für die Leistungsfestsetzung das Zusammenwirken mehrerer Behörden notwendig, genügt es, dass die nach der Rechtsprechung erforderliche Kenntnis bei einer der zuständigen Verwaltungsstellen vorhanden ist ( BGE 112 V 183 Erw. 4c). b) Im vorliegenden Fall ist mit dem Beschwerdeführer davon auszugehen, dass sich die Invalidenversicherungs-Kommission bei Erhalt des Fragebogens für Arbeitgeber vom 7. August 1991, welcher bei ihr am 8. August 1991 einging, Rechenschaft über das Vorliegen eines Rückerstattungstatbestandes geben musste. Dass die Verwaltung über die nach der Rechtsprechung erforderliche Kenntnis auch tatsächlich verfügte, dokumentierte sie durch den Vorbescheid vom 19. September 1991; darin teilte sie dem Beschwerdeführer mit, Abklärungen hätten ergeben, dass er seit 1. Dezember 1990 als Sachbearbeiter angestellt sei. Da er diese Arbeitsaufnahme nicht gemeldet habe, müsse ihm eine Verletzung der Meldepflicht angelastet werden, weshalb die zu Unrecht bezogenen Leistungen zurückzuerstatten seien (Vorbescheid vom 19. September 1991). Die Invalidenversicherungs-Kommission hatte demnach im damaligen Zeitpunkt erkannt, dass mit dem seit Dezember 1990 ununterbrochen bezogenen, am 8. August 1991 gemeldeten Teilzeiteinkommen von Fr. 2'350.-- die Grundlagen, auf welchen die ursprüngliche Rentenverfügung vom 30. April 1990 fusste, dahingefallen waren. Aus medizinischer Sicht bestand in bezug auf diese für die Beurteilung des Invaliditätsgrades letztlich massgebenden erwerblichen Gesichtspunkte kein Abklärungsbedarf, nachdem keine Anhaltspunkte dafür vorlagen, dass der Beschwerdeführer mit der Arbeitsaufnahme und -ausübung gesundheitlich überfordert gewesen wäre. Hatte die Invalidenversicherungs-Kommission somit am 8. August 1991 die nach BGE 119 V 431 S. 434 der Rechtsprechung erforderliche Kenntnis über den unrechtmässigen Leistungsbezug und stellt man für die Fristwahrung auf den Zeitpunkt des Erlasses der Verwaltungsverfügung ab, so ist die am 30. Dezember 1992 ergangene Rückerstattungsverfügung klarerweise verspätet, der Rückerstattungsanspruch daher verwirkt. Dass die Rente zwischenzeitlich weiterlief, ändert hieran nichts (unveröffentlichtes Urteil H. vom 19. Oktober 1992). c) Dieses Ergebnis beruht auf der bisherigen Rechtsprechung zu Art. 47 AHVG , welche, wie im Bereich der Verwirkung der Beiträge ( Art. 16 AHVG ) und des Schadenersatzanspruches der Ausgleichskasse gegenüber dem Arbeitgeber ( Art. 52 AHVG ), davon ausgeht, dass die (einjährige) Verwirkungsfrist ausschliesslich durch den Erlass einer Verfügung gewahrt werden kann ( BGE 119 V 95 Erw. 4c). Diese Betrachtungsweise, wonach die Verwirkungsfrist einzig und allein durch den Verfügungserlass gewahrt werden kann, darf auf den vorliegenden rechtlichen Kontext nicht angewendet werden. Bis zur Einführung des invalidenversicherungsrechtlichen Vorbescheidverfahrens am 1. Juli 1987 durch Art. 73bis IVV erliessen die Ausgleichskassen in solchen Fällen direkt eine Rückerstattungsverfügung. Damit war die einjährige Verwirkungsfrist gewahrt. Einwände, wie sie der Beschwerdeführer hier gegen den Vorbescheid vortrug und die das Verfahren verlängern konnten, waren früher Prüfungsthema eines allfälligen Beschwerdeverfahrens gegen die fristwahrende Verfügung. Wenn nun die Verwaltung durch das geltende Recht - aus Gründen der Entlastung der Verwaltungsrechtspflegeorgane, vor allem aber auch aus rechtsstaatlichen Überlegungen (Gewährung des rechtlichen Gehörs) - zum Erlass eines Vorbescheides verpflichtet wird, muss diesem, fristenrechtlich gesehen, die gleiche Wirkung zugemessen werden wie der Verfügung selber (vgl. auch RKUV 1990 Nr. 835 S. 83 Erw. 2b, gemäss welchem im Bereich des KUVG ein formloser Kassenbescheid für die Fristwahrung bereits genügt). Folglich ist der Rückerstattungsanspruch der Ausgleichskasse nicht verwirkt, weil mit dem Vorbescheid vom 19. September 1991 die seit 8. August 1991 laufende einjährige Verwirkungsfrist ohne weiteres gewahrt worden ist.</w:t>
      </w:r>
    </w:p>
    <w:p>
      <w:r>
        <w:rPr>
          <w:b/>
        </w:rPr>
        <w:t>E. 4</w:t>
      </w:r>
    </w:p>
    <w:p>
      <w:r>
        <w:t>a) Dieses Ergebnis führt nicht dazu, dass der Beschwerdeführer die zu Unrecht bezogenen Leistungen für die Zeit vom 1. Januar 1991 bis zum 31. Dezember 1992 zurückzuerstatten hat. Der vorinstanzliche Entscheid steht nämlich nicht im Einklang mit der durch das Urteil vom 10. Juni 1992 ( BGE 118 V 214 ) geänderten Rechtsprechung zur Wirkung der Meldepflichtverletzung auf die BGE 119 V 431 S. 435 Rückerstattungspflicht. Das Gesetz statuiert in Art. 88bis Abs. 2 lit. b IVV klar das Erfordernis der Kausalität zwischen dem zu sanktionierenden Verhalten (Meldepflichtverletzung) und dem eingetretenen Schaden (unrechtmässiger Bezug von Versicherungsleistungen). Die bis zum Eintreffen einer verspäteten Meldung bezüglich Arbeitsaufnahme unrechtmässig bezogenen Rentenbetreffnisse unterliegen grundsätzlich der Rückerstattungspflicht. Nicht mehr rückerstattungspflichtig sind die nach Eingang der verspäteten Meldung bezogenen Renten ( BGE 118 V 220 f.). b) Auf den vorliegenden Fall angewendet bedeutet dies, dass die Rentenbetreffnisse mit Wirkung ab 1. September 1991 nicht zufolge Meldepflichtverletzung zurückverlangt werden können. Wie dargelegt, erhielt die Invalidenversicherungs-Kommission am 8. August 1991 den ordnungsgemäss ausgefüllten Fragebogen des Arbeitgebers zugestellt. Daraus geht der seit 1. Dezember 1990 bezogene Lohn, welcher gegenüber dem der Rentenverfügung vom 30. April 1990 zugrunde liegenden Lohn deutlich höher ist, klar hervor. Wenn sich die Verwaltung dazu entschloss, die bisherige Rente weiterhin auszurichten, so kann dies nicht mehr auf die Verletzung der Meldepflicht zurückgeführt werden, zumal die Ausgleichskasse nicht geltend macht, sie hätte auf die nachfolgenden Abklärungen verzichtet, wenn der Arbeitsantritt bereits im Dezember 1990 gemeldet worden wäre. Damit entfällt eine Rückerstattungspflicht ab 1. September 1991, d.h. ab dem der verspäteten Meldung folgenden Monat (vgl. BGE 118 V 219 Erw. 2b und 221 Erw. 2b). Hingegen bleibt die Meldepflichtverletzung kausal für den unrechtmässigen Leistungsbezug für die Zeit von Januar bis und mit August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