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264</w:t>
      </w:r>
    </w:p>
    <w:p>
      <w:r>
        <w:t>Bundesgericht (BGE), 1993-05-17, DE</w:t>
      </w:r>
    </w:p>
    <w:p>
      <w:r>
        <w:rPr>
          <w:b/>
        </w:rPr>
        <w:t xml:space="preserve">Quelle: </w:t>
      </w:r>
      <w:r>
        <w:t>https://mcp.opencaselaw.ch/entscheid/bge_BGE_119_V_264</w:t>
      </w:r>
    </w:p>
    <w:p>
      <w:r>
        <w:t>FR: ATF 119 V 264</w:t>
      </w:r>
    </w:p>
    <w:p>
      <w:r>
        <w:t>IT: DTF 119 V 264</w:t>
      </w:r>
    </w:p>
    <w:p>
      <w:pPr>
        <w:pStyle w:val="Heading2"/>
      </w:pPr>
      <w:r>
        <w:t>Regeste</w:t>
      </w:r>
    </w:p>
    <w:p>
      <w:r>
        <w:t>Regeste Art. 85 Abs. 2 lit. f AHVG, Art. 69 IVG, Art. 395 Abs. 1 und 2 ZGB. Weder im Rahmen der Mitwirkungsbeiratschaft noch der Verwaltungsbeiratschaft oder der kombinierten Beiratschaft ist der Beirat zur selbständigen Prozessführung im Streit um eine Invalidenrente ermächtigt. In jedem Fall ist die Zustimmung oder Genehmigung des Verbeirateten erforderlich.</w:t>
      </w:r>
    </w:p>
    <w:p>
      <w:r>
        <w:t>Regeste Art. 85 al. 2 let. f LAVS, art. 69 LAI, art. 395 al. 1 et 2 CC. Que ce soit dans le cadre de l'institution d'un conseil légal coopérant, d'un conseil légal gérant ou encore d'un conseil légal combiné, le conseil légal n'est pas habilité à agir seul dans un litige concernant une rente d'invalidité. Dans tous les cas, l'accord ou la ratification du pupille est nécessaire.</w:t>
      </w:r>
    </w:p>
    <w:p>
      <w:r>
        <w:t>Regesto Art. 85 cpv. 2 lett. f LAVS, art. 69 LAI, art. 395 cpv. 1 e 2 CC. Tanto nel caso dell'istituzione di un'assistenza legale di collaborazione, come in quello di un'assistenza legale di gerenza o infine di un'assistenza combinata, l'assistente non è autorizzato a procedere da solo in un litigio concernente una rendita d'invalidità. In ogni caso è necessario l'accordo dell'assistito.</w:t>
      </w:r>
    </w:p>
    <w:p>
      <w:pPr>
        <w:pStyle w:val="Heading2"/>
      </w:pPr>
      <w:r>
        <w:t>Erwägungen</w:t>
      </w:r>
    </w:p>
    <w:p>
      <w:r>
        <w:rPr>
          <w:b/>
        </w:rPr>
        <w:t>E. 1</w:t>
      </w:r>
    </w:p>
    <w:p>
      <w:r>
        <w:t>(Kognition)</w:t>
      </w:r>
    </w:p>
    <w:p>
      <w:r>
        <w:rPr>
          <w:b/>
        </w:rPr>
        <w:t>E. 2</w:t>
      </w:r>
    </w:p>
    <w:p>
      <w:r>
        <w:t>a) Nach Art. 85 Abs. 2 lit. b AHVG , anwendbar gemäss Art. 69 IVG auch auf dem Gebiet der Invalidenversicherung, muss die bei der kantonalen Rekursbehörde eingereichte Beschwerde eine gedrängte Darstellung des Sachverhalts, ein Rechtsbegehren und eine kurze Begründung enthalten. Genügt die Beschwerde diesen Anforderungen nicht, so setzt die Rekursbehörde dem Beschwerdeführer eine angemessene Frist zur Verbesserung und verbindet damit die Androhung, dass sonst auf die Beschwerde nicht eingetreten werde. BGE 119 V 264 S. 266 Im Gegensatz zum letztinstanzlichen Verfahren, in welchem gemäss Art. 108 Abs. 3 OG eine nachträgliche Verbesserungsmöglichkeit der Beschwerde nur bei Unklarheit von Begehren oder Begründung vorgesehen ist, hat im erstinstanzlichen Verfahren die Fristansetzung zur Verbesserung der Beschwerde ganz allgemein immer dann zu erfolgen, wenn die Beschwerde den in Art. 85 Abs. 2 lit. b AHVG genannten gesetzlichen Anforderungen nicht genügt; also auch dann, wenn es an Begehren oder Begründung gänzlich mangelt. Es handelt sich bei der erwähnten Bestimmung um eine formelle Vorschrift, die den erstinstanzlichen Richter - ausser in Fällen von offensichtlichem Rechtsmissbrauch - verpflichtet, eine Frist zur Verbesserung der Mängel anzusetzen ( BGE 116 V 356 E. 2b in fine, BGE 107 V 245 , BGE 104 V 179 ). b) Nach Art. 85 Abs. 2 lit. f erster Satz AHVG, ebenfalls anwendbar nach Art. 69 IVG auf dem Gebiet der Invalidenversicherung, ist das Recht, sich im erstinstanzlichen Beschwerdeverfahren verbeiständen zu lassen, gewährleistet. Nach der Rechtsprechung ist die kantonale Rekursbehörde befugt, vom Parteivertreter zu verlangen, dass er sich durch eine schriftliche Vollmacht ausweist (nicht veröffentlichte Urteile G. vom 30. Oktober 1990 und K. vom 21. Januar 1993). Soweit die Gültigkeit eines Vertretungsverhältnisses vom Nachweis einer schriftlichen Vollmacht abhängig gemacht wird, ist beim Fehlen einer solchen Vollmacht ein analoges Vorgehen zu Art. 85 Abs. 2 lit. b AHVG angezeigt. Denn wenn sogar ein Mangel bezüglich des Rechtsbegehrens oder der Begründung durch Ansetzung einer Nachfrist zur Verbesserung behoben werden kann, so muss dies a fortiori bei einem formellen Mangel einer Beschwerde zutreffen - und um einen solchen handelt es sich bei einer fehlenden Vollmacht. Liegt keine oder eine ungenügende Vollmacht vor, so hat die Rekursbehörde demzufolge dem Beschwerdeführer eine angemessene Frist zur Nachreichung oder Verbesserung der Vollmacht anzusetzen und damit die Androhung zu verbinden, dass im Säumnisfall auf die Beschwerde nicht eingetreten wird (nicht veröffentlichte Urteile K. vom 21. Januar 1993 und K. vom 14. September 1992).</w:t>
      </w:r>
    </w:p>
    <w:p>
      <w:r>
        <w:rPr>
          <w:b/>
        </w:rPr>
        <w:t>E. 3</w:t>
      </w:r>
    </w:p>
    <w:p>
      <w:r>
        <w:t>Im vorliegenden Fall forderte die Rekurskommission den Beirat Kurt G. mit Formularbrief vom 5. April 1991 u.a. dazu auf, die Zustimmung der Vormundschaftsbehörde gemäss Art. 421 Ziff. 8 ZGB beizubringen. Mit Antwortschreiben vom 16. April 1991 machte dieser geltend, das Zustimmungserfordernis erstrecke sich BGE 119 V 264 S. 267 nicht auf die Verwaltungsrechtspflege, weshalb er die gewünschte Erklärung der Vormundschaftsbehörde nicht beibringen könne. In einem weiteren, an den Beirat gerichteten Schreiben vom 23. April 1991 räumte die Rekurskommission ein, der Formularbrief vom 5. April 1991 sei insoweit unvollständig, als es bei der Verbeiratung genüge, wenn der Beirat eine Vollmacht des Verbeirateten einreiche. Praxisgemäss verlange sie allerdings dann die Zustimmung der Vormundschaftsbehörde, wenn der Verbeiratete seine Mitwirkung bei der Prozessführung verweigere. Kurt G. habe daher bis zum 10. Mai 1991 entweder eine Vollmacht des Verbeirateten oder die Zustimmung der Vormundschaftsbehörde beizubringen. Andernfalls könne mangels Vorliegen der formellen Prozessvoraussetzungen auf die Beschwerde nicht eingetreten werden. In der Folge wurde lediglich ein weiteres Exemplar der bereits früher eingelegten Urkunde der Vormundschaftsbehörde U. über die Ernennung zum Beirat vom 23. März 1990 eingereicht, weshalb die Rekurskommission androhungsgemäss auf die Beschwerde nicht eintrat (Entscheid vom 29. Mai 1991). Mit dem erwähnten Vorgehen ist die Vorinstanz den in Art. 85 Abs. 2 lit. b AHVG angelegten verfahrensmässigen Anforderungen, wonach die kantonale Rekursinstanz vor einem Nichteintretensentscheid zur Verbesserung der mangelhaften Beschwerde aufzufordern hat, nachgekommen. Die Korrektheit dieser Verfahrensweise wird denn auch zu Recht nicht in Zweifel gezogen.</w:t>
      </w:r>
    </w:p>
    <w:p>
      <w:r>
        <w:rPr>
          <w:b/>
        </w:rPr>
        <w:t>E. 4</w:t>
      </w:r>
    </w:p>
    <w:p>
      <w:r>
        <w:t>Streitig und zu prüfen ist einzig, ob die Rekurskommission ohne Verletzung von Bundesrecht ( Art. 104 lit. a OG ), wozu auch das Vormundschaftsrecht des ZGB zählt, ein ungenügendes Vertretungsverhältnis annehmen und demzufolge auf die Beschwerde nicht eintreten durfte. Der Ernennungsurkunde zum Beirat vom 23. März 1990 ist zu entnehmen, dass die Vormundschaftsbehörde U. "gemäss Art. 379-391 des Schweizerischen Zivilgesetzbuches" Kurt G. zum Beirat des 1942 geborenen, in U. wohnhaften Peter M. ernannt hat. Jedoch lassen weder die Urkunde selbst noch die übrigen Akten erkennen, ob es sich hierbei um eine Mitwirkungsbeiratschaft, eine Verwaltungsbeiratschaft oder eine kombinierte Beiratschaft handelt. Die Vorinstanz ist dieser Frage trotz der Pflicht, die Prozessvoraussetzungen von Amtes wegen abzuklären, nicht weiter nachgegangen. Da die Art der Beiratschaft letztlich offenbleiben kann, wie nachstehende Erwägungen zeigen, lässt sich das Vorgehen der Rekurskommission im Ergebnis nicht beanstanden. BGE 119 V 264 S. 268</w:t>
      </w:r>
    </w:p>
    <w:p>
      <w:r>
        <w:rPr>
          <w:b/>
        </w:rPr>
        <w:t>E. 5</w:t>
      </w:r>
    </w:p>
    <w:p>
      <w:r>
        <w:t>a) Gemäss Art. 395 Abs. 1 ZGB kann einer Person, wenn für die Entmündigung kein genügender Grund vorliegt, gleichwohl aber zum Schutze ihrer Interessen eine Beschränkung der Handlungsfähigkeit als notwendig erscheint, ein Beirat bestellt werden, dessen Mitwirkung für die in Ziff. 1 bis 9 aufgezählten Rechtsgeschäfte erforderlich ist (Mitwirkungsbeiratschaft). Nach Ziff. 1 dieser Bestimmung ist die Mitwirkung des Beirates erforderlich für "Prozessführung und Abschluss von Vergleichen". Der Begriff der Prozessführung umfasst entgegen der Meinung des Beschwerdeführers auch die Verwaltungsrechtspflege und namentlich den Sozialversicherungsprozess (unveröffentlichtes Urteil T. vom 22. Juli 1988; vgl. auch ZAK 1988 S. 401; GRISEL, Traité de droit administratif, S. 840). Nach einhelliger Lehre und Rechtsprechung handelt der Mitwirkungsbeirat nicht anstelle des Verbeirateten. Dies bedeutet, dass seine Handlungen diejenigen des Verbeirateten nicht ersetzen. Beirat und Verbeirateter wirken vielmehr im Sinne einer notwendigen Ergänzung zusammen. Der Beirat kann ebensowenig wie der Verbeiratete allein im Bereich von Art. 395 Abs. 1 Ziff. 1 bis 9 Rechtswirkungen erzeugen; er ist mit anderen Worten nicht gesetzlicher Vertreter des Verbeirateten (RIEMER, Grundriss des Vormundschaftsrechts, § 5 N 23 , S. 113; Kommentar SCHNYDER/MURER, Bern 1984, N 13, 66 und 80 zu Art. 395 ZGB ; STRÄULI/MESSMER, Kommentar zur Zürcherischen Zivilprozessordnung, 2. Aufl. 1982, N 10 zu §§ 27/28, S. 60; Kommentar EGGER, 2. Aufl. Zürich 1948, N 23, 43 und 48 zu Art. 395 ZGB ; BGE 77 II 10 ). Weder der Verbeiratete noch der Beirat dürfen selbständig, ohne Mitwirkung des andern, Prozesshandlungen vornehmen. Dies gilt auf allen Stufen des Verfahrens, also etwa auch bei der Ergreifung eines Rechtsmittels (SCHNYDER/MURER, a.a.O., N 88 zu Art. 395 ZGB ). Der Beirat ist ohne Vollmacht des Verbeirateten nicht zur Prozessführung berechtigt (STRÄULI/MESSMER, a.a.O., N 10 zu §§ 27/28; EGGER, a.a.O., N 54 zu Art. 395 ZGB ). Das Erfordernis des Zusammenwirkens zwischen dem Beirat und dem Verbeirateten bedeutet allerdings nicht, dass beide gleichzeitig handeln müssen; die Mitwirkung ist auch in Form der vorgängigen Zustimmung oder der nachträglichen Genehmigung möglich (RIEMER, a.a.O., § 5 N 24 , S. 113 SCHNYDER/MURER, a.a.O., N 13 zu Art. 395 ZGB ). b) Nach der Aktenlage steht fest, dass der verbeiratete Peter M. der vorinstanzlichen Beschwerdeführung - im Gegensatz zur BGE 119 V 264 S. 269 Verwaltungsgerichtsbeschwerde - weder vorgängig noch nachträglich zugestimmt und dass der Beirat eine solche Zustimmungserklärung nicht innert nützlicher Frist beigebracht hat. Somit fehlt es am im Rahmen der Mitwirkungsbeiratschaft erforderlichen Zusammenwirken zwischen Beirat und Verbeiratetem. Eine gültige Beschwerdeführung für den Verbeirateten muss demzufolge verneint werden. Entgegen der im Schreiben vom 23. April 1991 vertretenen Auffassung der Rekurskommission vermöchte eine Genehmigung der Prozessführung durch die Vormundschaftsbehörde hieran nichts zu ändern. Bei dieser Rechts- und Sachlage erübrigt es sich, auf die in Doktrin und Rechtsprechung umstrittene, nicht abschliessend geklärte Frage einzugehen, ob im Falle der Mitwirkungsbeiratschaft - kraft der Verweisung in Art. 367 Abs. 3 ZGB , wo der Begriff des Beistandes in einem weiteren Sinne verwendet wird - zusätzlich die Zustimmung der Vormundschaftsbehörde nach Art. 421 Ziff. 8 ZGB erforderlich ist. Immerhin kann festgestellt werden, dass nach heute fast einhelliger Rechtsprechung und Lehre die Vormundschaftsbehörde nicht mitzuwirken hat (SCHNYDER/MURER, a.a.O., N 105 zu Art. 395 ZGB , mit zahlreichen Hinweisen; vgl. namentlich auch STRÄULI/MESSMER, a.a.O., N 10 zu §§ 27/28, wonach die Zustimmung der Vormundschaftsbehörde nach Zürcher Praxis nicht erforderlich ist).</w:t>
      </w:r>
    </w:p>
    <w:p>
      <w:r>
        <w:rPr>
          <w:b/>
        </w:rPr>
        <w:t>E. 6</w:t>
      </w:r>
    </w:p>
    <w:p>
      <w:r>
        <w:t>a) Die Verwaltungsbeiratschaft nach Art. 395 Abs. 2 ZGB entzieht dem Verbeirateten die Verwaltung über seine Vermögenssubstanz. In diesem Bereich ist er handlungsunfähig. Dagegen ist er in allen übrigen Angelegenheiten handlungsfähig (RIEMER, a.a.O., § 5 N 27 , S. 114). Der Verwaltungsverbeiratete behält die Verfügungsgewalt über die Einkünfte aus seinem Vermögen und aus seiner Arbeit (TUOR/SCHNYDER, Das Schweizerische Zivilgesetzbuch, 10. Aufl., Zürich 1986, S. 380 Ziff. 2). b) Die vorinstanzliche Beschwerde bezog sich auf eine Rente der Invalidenversicherung. Da eine solche Rente (pauschales) Erwerbsersatzeinkommen darstellt, ist sie den Einkünften und nicht dem Vermögen gleichzusetzen (vgl. ZAK 1988 S. 402 E. 2). Demzufolge liegt der Streit um die Invalidenrente ausserhalb des Bereiches der Verwaltungsbeiratschaft, womit zumindest eine nachträgliche Zustimmung des Verbeirateten zur Prozessführung durch den Beirat erforderlich gewesen wäre.</w:t>
      </w:r>
    </w:p>
    <w:p>
      <w:r>
        <w:rPr>
          <w:b/>
        </w:rPr>
        <w:t>E. 7</w:t>
      </w:r>
    </w:p>
    <w:p>
      <w:r>
        <w:t>Nach dem Gesagten ist festzuhalten, dass die von Kurt G. ohne Zustimmung des Verbeirateten eingereichte vorinstanzliche BGE 119 V 264 S. 270 Beschwerde gegen die rentenabweisende Verfügung nicht rechtsgenüglich erhoben worden ist. Dies gilt unabhängig davon, ob man von einer Mitwirkungs- oder einer Verwaltungsbeiratschaft ausgeht. Auch die Annahme einer kombinierten Beiratschaft, bei welcher die bei der Mitwirkungs- und Verwaltungsbeiratschaft bestehenden Bereiche der Handlungsunfähigkeit kumuliert werden (RIEMER, a.a.O., § 5 N 31 , S. 116; SCHNYDER/MURER, N 15 und 144 ff. zu Art. 395 ZGB ), würde zu keinem anderen Ergebnis führen. Der vorinstanzliche Nichteintretensentscheid vom 29. Mai 1991 besteht damit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