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26</w:t>
      </w:r>
    </w:p>
    <w:p>
      <w:r>
        <w:t>Bundesgericht (BGE), 1993-03-10, FR</w:t>
      </w:r>
    </w:p>
    <w:p>
      <w:r>
        <w:rPr>
          <w:b/>
        </w:rPr>
        <w:t xml:space="preserve">Quelle: </w:t>
      </w:r>
      <w:r>
        <w:t>https://mcp.opencaselaw.ch/entscheid/bge_BGE_119_V_26</w:t>
      </w:r>
    </w:p>
    <w:p>
      <w:r>
        <w:t>FR: ATF 119 V 26</w:t>
      </w:r>
    </w:p>
    <w:p>
      <w:r>
        <w:t>IT: DTF 119 V 26</w:t>
      </w:r>
    </w:p>
    <w:p>
      <w:pPr>
        <w:pStyle w:val="Heading2"/>
      </w:pPr>
      <w:r>
        <w:t>Regeste</w:t>
      </w:r>
    </w:p>
    <w:p>
      <w:r>
        <w:t>Regeste Art. 12 Abs. 2 KUVG, Art. 21 Abs. 1 Vo III. Beim gegenwärtigen Wissensstand stellen die künstliche Befruchtung durch In-vitro-Fertilisation (IVF) und Embryotransfer (ET) keine wissenschaftlich anerkannten Vorkehren dar, die als Pflichtleistungen von den Krankenkassen zu übernehmen sind. Es besteht daher kein Grund, auf die in BGE 113 V 42 entwickelte Rechtsprechung zurückzukommen.</w:t>
      </w:r>
    </w:p>
    <w:p>
      <w:r>
        <w:t>Regeste Art. 12 al. 2 LAMA, art. 21 al. 1 Ord. III. En l'état actuel des connaissances, il n'est pas possible d'affirmer que la procréation artificielle par fécondation in vitro et transfert d'embryon (FIVETE) est une mesure scientifiquement reconnue à la charge des caisses-maladie. Il n'y a dès lors pas lieu de revenir sur la jurisprudence de l'arrêt ATF 113 V 42.</w:t>
      </w:r>
    </w:p>
    <w:p>
      <w:r>
        <w:t>Regesto Art. 12 cpv. 2 LAMI, art. 21 cpv. 1 O III. Nell'attuale stadio delle conoscenze non può essere asserito che la procreazione artificiale per fecondazione in vitro e per trasferimento dell'embrione (FIVETE) sia provvedimento riconosciuto scientificamente a carico delle casse-malati. Non esiste motivo per riconsiderare la giurisprudenza in DTF 113 V 42.</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115 V 363 consid. 3a, ATF 108 V 247 consid. 1a). b)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118 V 70 consid. 2b, ATF 116 V 257 s. consid. 1 et les références).</w:t>
      </w:r>
    </w:p>
    <w:p>
      <w:r>
        <w:rPr>
          <w:b/>
        </w:rPr>
        <w:t>E. 2</w:t>
      </w:r>
    </w:p>
    <w:p>
      <w:r>
        <w:t>Il est constant que la stérilité d'origine tubaire dont est affectée Dame G. a valeur de maladie au sens de la loi et de la jurisprudence ( ATF 113 V 44 consid. 3b et les références citées; sur la notion de maladie en général, voir RAMA 1990 no K 849 p. 322 consid. 1a et les références). Ce point de droit n'est du reste pas litigieux.</w:t>
      </w:r>
    </w:p>
    <w:p>
      <w:r>
        <w:rPr>
          <w:b/>
        </w:rPr>
        <w:t>E. 3</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exige en outre que la mesure soit appropriée à son but et économique. Selon la jurisprudence, une méthode de traitement est considérée comme éprouvée par la science médicale, c'est-à-dire réputée BGE 119 V 26 S. 29 scientifiquement reconnue, si elle est largement admise par les chercheurs et les praticiens. L'élément décisif à cet égard réside dans le résultat des expériences et dans le succès d'une thérapie déterminée ( ATF 118 V 53 consid. 3b, 110 consid. 2, ATF 114 V 156 consid. 3a, 164 consid. 2, 260 consid. 2, ATF 113 V 45 consid. 4d/aa). b) Selon un arrêt en la cause L. du 2 février 1987 ( ATF 113 V 42 ), confirmé par un arrêt non publié du 2 mai 1990 en la cause D., la FIVETE ne représente pas un moyen scientifiquement reconnu de remédier aux effets de l'infertilité d'une femme. Par conséquent, les caisses ne sont pas tenues de prendre en charge, au titre des prestations obligatoires, les frais nécessités par l'application de cette méthode. Pour parvenir à cette conclusion, le tribunal s'est fondé essentiellement sur quatre arguments: - la FIVETE revêt un caractère expérimental et n'est donc pas encore véritablement éprouvée par la science médicale; - le taux de réussite de la méthode est relativement faible (environ 10 pour cent); - en cas de succès de la fertilisation, il existe un risque non négligeable de grossesse anormale; - la probabilité de naissances multiples (notamment de jumeaux, voire de triplés) est relativement forte - et non souhaitée - ce qui est inhérent à la méthode qui, pour augmenter les chances de réussite, rend nécessaire le transfert simultané de plusieurs embryons dans l'utérus de la patiente. Comme il ne pouvait ainsi s'agir d'une mesure scientifiquement reconnue, le tribunal a laissé indécis le point de savoir si la FIVETE représentait ou non une mesure thérapeutique au sens de l'art. 21 al. 1 Ord III; de même, il n'a pas eu à examiner si elle satisfaisait à l'exigence du caractère économique ( ATF 113 V 47 consid. 4 dd). c) Le premier juge s'est toutefois écarté de cette jurisprudence. Il s'est fondé, d'une part, sur l'évolution des conceptions juridiques en matière de génie génétique et de procréation artificielle (cf. par ex. le message du Conseil fédéral du 18 septembre 1989 concernant l'initiative populaire "contre l'application abusive des techniques de reproduction et de manipulation génétique à l'espèce humaine" [FF 1989 III 945ss] et l'arrêté fédéral du 21 juin 1991 concernant ladite initiative [FF 1991 II 1433], ainsi que l'arrêt publié aux ATF 115 Ia 234 ) et, d'autre part, sur un article des docteurs GERMOND, SENN, BONANOMI, DE GRANDI et BOSSART (Unité de stérilité, Département de gynécologie-obstétrique du CHUV, à Lausanne), intitulé BGE 119 V 26 S. 30 "Fécondation in vitro et transfert d'embryons", publié dans le Journal suisse de médecine (JSM) 1990 pp. 260 ss. En revanche, tant la recourante que le service médical de l'OFAS contestent à la FIVETE le caractère de mesure thérapeutique au sens de l'art. 21 al. 1 Ord. III. d) Il faut concéder au premier juge et à l'intimée que, par rapport à ses débuts, la méthode litigieuse a connu un taux de succès en augmentation. Selon le rapport du 19 août 1988 de la Commission fédérale d'experts pour la génétique humaine et la médecine de la reproduction (dite commission Amstad), il importe de distinguer la proportion de grossesses par cycle de traitement (environ 10 pour cent) et celle de grossesses par transfert d'embryons (environ 16 pour cent), alors que pour l'ensemble des tentatives de traitement, le nombre de naissances représente environ 5 pour cent des cas (FF 1989 III 1000). Selon CAMPANA (in MÜLLER [Hsrg], Reproduktionsmedizin und Gentechnologie. Schweizer Experten informieren, Bâle 1987, p. 70), le nombre d'embryons transférés simultanément dans l'utérus joue un rôle important dans le taux de succès du traitement. D'après une statistique internationale de 1984, le taux de grossesse n'est que de 6 pour cent lorsqu'un seul embryon est transféré, alors qu'il s'élève jusqu'à 23 pour cent en cas de transfert simultané de quatre embryons. Dans leur article déjà cité, GERMOND et al. indiquent un taux de succès stabilisé à 25 pour cent de grossesses cliniques suivant un transfert d'embryons. Une étude récente de l'Hôpital universitaire de Zurich fait état d'un taux de grossesses cliniques de 35 pour cent par ponction, en 1991 (IMTHURN/MACAS/ROSSELLINI/KELLER, In-vitro-Fertilisation - Fortschritte einer Sterilitätsbehandlungsmethode, JSM 1992 pp. 1509 ss). Mais, indépendamment du fait que l'on ne dispose pas de données statistiques globales pour la Suisse et que, par ailleurs, les résultats peuvent être fonction de la méthode appliquée, cette augmentation du taux de succès ne saurait, à elle seule, être décisive.</w:t>
      </w:r>
    </w:p>
    <w:p>
      <w:r>
        <w:rPr>
          <w:b/>
        </w:rPr>
        <w:t>E. 4</w:t>
      </w:r>
    </w:p>
    <w:p>
      <w:r>
        <w:t>a) Si le caractère scientifique, la valeur diagnostique ou thérapeutique ou le caractère économique d'une mesure est contesté, le Département fédéral de l'intérieur (DFI) décide, sur préavis de la commission des prestations, si la mesure doit être prise en charge obligatoirement par les caisses ( art. 12 al. 5 LAMA , art. 21 al. 2 Ord. III). Selon de nouvelles dispositions, les décisions du DFI - qui reprennent en général le texte des préavis de la commission - doivent désormais être toutes publiées dans l'annexe à la nouvelle Ordonnance 9 du DFI du 18 décembre 1990, entrée en vigueur le BGE 119 V 26 S. 31 1er janvier 1991; il s'agit, en fait, d'une nouvelle forme de publication des avis de la commission ( ATF 118 V 111 consid. 3; au sujet de cette modification, voir RAMA 1991 p. 31). Jusqu'alors, ces derniers étaient périodiquement publiés, depuis 1969, dans la RJAM/RAMA (voir cependant un état récapitulatif des prestations qui ont fait l'objet d'un avis de la commission des prestations de 1969 à 1988 in: JCMS 1988 p. 29). b) Conformément à une jurisprudence bien établie, les avis de la commission des prestations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118 V 53 consid. 3b, 110 consid. 2, ATF 114 V 156 consid. 3a, 164 consid. 2, ATF 113 V 46 consid. 4d/cc). En dehors de cette éventualité, le tribunal peut aussi s'affranchir des constatations et conclusions de la commission des prestations lorsqu'elles se fondent, non sur des éléments d'ordre strictement médical, propres à lier le juge, mais sur des appréciations générales ou de nature juridique, que celui-ci revoit librement ( ATF 114 V 160 consid. 4b, 168 consid. 4, 263 consid. 4a). Il reste que, selon le système légal et réglementaire, c'est normalement au DFI qu'il appartient de déterminer, en cas de contestation et sous réserve d'un contrôle ultérieur par le juge, si une mesure doit ou non être prise en charge par les caisses-maladie. Comme la Commission fédérale des médicaments ( art. 12 al. 6 LAMA ), la commission des prestations, pour sa part, ne se distingue pas, quant à sa fonction, d'une commission interne chargée d'émettre des avis consultatifs à l'intention du Conseil fédéral ou du DFI sur des questions qui exigent des connaissances spéciales. Aussi n'a-t-elle pas le pouvoir d'édicter des normes générales et abstraites ayant force de loi. En cas de contestation sur la valeur diagnostique ou thérapeutique d'une mesure, il faut uniquement se demander si la mesure, au moment de son application, satisfait aux exigences légales pour être mise obligatoirement à la charge des caisses-maladie. Dans cet examen, l'avis de la commission des prestations pourra servir de fondement à la décision du juge, au même titre que l'opinion d'un expert (RAMA 1990 no K 837 p. 144). Des traitements qui étaient autrefois controversés sont aujourd'hui, compte tenu de l'évolution de la médecine, ou même des BGE 119 V 26 S. 32 moeurs, parfaitement reconnus. Il peut ainsi arriver que le Tribunal fédéral des assurances soit amené à réexaminer sa jurisprudence antérieure au sujet d'un traitement jusqu'alors non reconnu. Mais, lorsque la commission avait déjà émis un avis négatif, auquel le juge s'était rallié à l'occasion d'une procédure précédente, on ne voit guère que ce juge, à l'occasion d'un nouveau recours, revienne sur sa décision sans connaître au moins l'opinion de la commission au regard de la situation nouvelle. La commission, à qui il incombe de suivre l'évolution en ce domaine et de procéder périodiquement à de nouvelles évaluations, est à même de fournir au juge des bases utiles, sinon nécessaires, de réflexion et de décision. c) La commission des prestations s'est prononcée de manière négative le 28 août 1986, dans le cadre de la procédure qui a donné lieu à l'arrêt ATF 113 V 42 . Cet avis est mentionné sous ch. 3 de l'annexe à l'Ordonnance 9 du DFI, dans sa version modifiée du 23 décembre 1992 (RO 1993 351); il n'était jusqu'alors reproduit que dans le RAMA 1987 p. 79. Le 18 juillet 1991, la Société suisse de gynécologie et obstétrique (SSGO) a demandé à l'OFAS d'entreprendre des démarches en vue de la reconnaissance de la FIVETE comme un traitement de la stérilité féminine à la charge des caisses-maladie. Diverses études médicales étaient jointes à sa demande. L'OFAS (dont le service médical est chargé de la préparation des travaux de la commission des prestations) a invité la SSGO à répondre à un questionnaire et à fournir un certain nombre d'informations supplémentaires, tout en rappelant que la mesure devait non seulement être reconnue scientifiquement, mais également être adéquate et économique. La SSGO a alors chargé le docteur Germond de rassembler les renseignements demandés. Le 17 mars 1992, l'OFAS a insisté auprès de la SSGO sur la nécessité d'obtenir les renseignements désirés pour le 26 mars 1992 au plus tard, afin que la commission fût en mesure de prendre position lors de sa séance du mois de juin 1992. Le 25 mars 1992, la SSGO a répondu que ce retard était dû à l'importance des questions à traiter et à la nécessité "d'établir un dossier d'une solidité inébranlable"; dans une lettre à la SSGO du 19 mars 1992, dont une copie était remise en annexe, le docteur Germond expliquait qu'une analyse économique était en cours, en collaboration avec le chef du secteur des finances du CHUV; un rapport d'expertise était, pour le surplus, en cours de rédaction, mais il ne pourrait être complété qu'une fois achevée cette analyse. Dans sa séance du 16 juin 1992, la commission des prestations a pris connaissance de cet échange de correspondance. Dans son BGE 119 V 26 S. 33 exposé introductif, l'OFAS a tout d'abord relevé, sur la base des premières études fournies par la SSGO, l'existence de certains progrès dans le taux de réussite de la méthode. Il a constaté, cependant, que les renseignements économiques faisaient défaut. Il convenait ainsi d'attendre la remise d'un "dossier complet" par la SSGO, dossier qui tiendrait compte aussi bien de données économiques que cliniques. L'OFAS se déclarait prêt à reprendre l'examen du dossier lors de la préparation d'une prochaine séance de la commission (vraisemblablement en août 1993). L'office a ainsi proposé d'introduire le texte suivant dans l'annexe à l'Ordonnance 9: "Non - En évaluation". Les commissaires n'ont finalement pas retenu cette proposition, pour ne pas donner à penser que les travaux d'évaluation étaient menés sous leur propre responsabilité. d) Sur le vu de ces derniers développements, il faut considérer que la commission des prestations ne se prononcera de manière ferme et définitive sur le fond qu'après l'aboutissement de la procédure d'évaluation en cours. Au demeurant, il importe de constater que la commission ne dispose pas, actuellement, des bases suffisantes d'évaluation et de discussion. La SSGO reconnaît elle-même ne pas posséder, pour le moment, une documentation complète et absolument convaincante. En l'état actuel des connaissances, il n'est ainsi pas possible d'affirmer que la FIVETE représente une mesure scientifiquement reconnue à la charge des caisses-maladie. On doit donc admettre, sans qu'il y ait lieu, pour le tribunal, de procéder à des investigations supplémentaires, que les conditions d'un changement de jurisprudence - qui supposerait en tout cas une meilleure connaissance des données scientifiques et économiques - ne sont pas réalisées.</w:t>
      </w:r>
    </w:p>
    <w:p>
      <w:r>
        <w:rPr>
          <w:b/>
        </w:rPr>
        <w:t>E. 5</w:t>
      </w:r>
    </w:p>
    <w:p>
      <w:r>
        <w:t>a) On ne saurait d'autre part ignorer le fait que le peuple et les cantons ont approuvé, le 17 mai 1992, l'introduction dans la Constitution d'un nouvel art. 24novies (RO 1992 1579), qui donne à la Confédération la compétence d'édicter des prescriptions concernant l'utilisation du patrimoine germinal et génétique humain. Il appartiendra notamment au législateur fédéral de dire à quelles conditions la fécondation d'ovules hors du corps sera autorisée. Le nouvel article constitutionnel contient d'ores et déjà à cet égard la restriction suivante: "Ne peuvent être développés hors du corps de la femme jusqu'au stade d'embryon que le nombre d'ovules humains pouvant être immédiatement implantés" (al. 2 let. c in fine). Jusqu'alors, la conservation d'embryons congelés était admise pour une certaine période (conformément aux directives de l'Académie suisse des sciences médicales). En cas d'échec après un transfert, les BGE 119 V 26 S. 34 embryons surnuméraires pouvaient ainsi être transférés plus tard, au cours d'un cycle non stimulé. On peut dès lors se demander si la limitation constitutionnelle et les dispositions légales qui en résulteront n'auront pas une incidence sur le taux de réussite de la méthode dans son ensemble ou sur son coût global, voire sur les deux. b) En tout cas, jusqu'à l'adoption d'une législation fédérale, des incertitudes subsisteront quant aux conditions d'accès aux méthodes de procréation assistée. A cet égard, la jurisprudence a révélé qu'un besoin de réglementation s'était fait sentir en ce domaine, où règnent une grande insécurité juridique et des différences locales parfois importantes ( ATF 115 Ia 234 ; RDAF 1990 p. 156; voir également AUBERT, Législations cantonales sur la procréation artificielle, in: Problèmes de droit de la famille, Recueil de travaux publiés par la Faculté de droit et des sciences économiques de l'Université de Neuchâtel, 1987, p. 7 ss). On peut en outre prévoir que le législateur fédéral réglera lui-même la question de la prise en charge par l'assurance-maladie de la FIVETE, dans le cadre ou dans le sillage de la future législation. C'est ainsi que la commission Amstad a relevé, dans son rapport, qu'une révision des dispositions en matière d'assurance-maladie s'imposerait si la législation fédérale devait reconnaître la procréation assistée comme moyen de répondre au désir d'un couple d'avoir un enfant. Le Conseil fédéral en a tenu compte dans son message du 18 septembre 1989, en relevant que sur la base de l' art. 34bis Cst. existant, il serait d'ores et déjà possible d'édicter des dispositions réglant la prise en considération de données génétiques (admission, prestations, etc.) dans le domaine de l'assurance-maladie sociale (FF 1989 III 964). Par ailleurs, examinant les conséquences financières du nouveau mandat législatif de la Confédération, il a souligné que "si les caisses-maladie prennent en charge les frais des traitements relevant de la médecine de la reproduction, les prestations fédérales dont elles bénéficient seront augmentées" (loc.cit., p. 983 ad ch. 91). Enfin, au cours des débats parlementaires, le Conseiller fédéral Koller a indiqué, en réponse à une intervention du Conseiller national Zwygart, que l'autorisation (constitutionnelle) de la FIVETE ne devait pas avoir pour conséquence la création d'un droit aux prestations de l'assurance-maladie pour cette intervention (BO 1991 CN 606 et 616), ce qui peut être interprété comme une volonté de réserver, sur ce point, un choix ultérieur du législateur. c) Dans un contexte aussi incertain et se plaçant dans la perspective de la future législation, le juge doit faire montre de beaucoup de BGE 119 V 26 S. 35 retenue: aussi longtemps qu'il n'apparaît pas avec toute la clarté voulue que la FIVETE satisfait, à tous égards, aux exigences requises, il ne lui appartient pas de précéder la démarche du législateur en prescrivant aux caisses-maladie d'assumer les frais découlant de cette mesure, au titre de prestation obligatoire, et en fixant maintenant les conditions de cette prise en charge, notamment sous l'angle de l'économie de traitement.</w:t>
      </w:r>
    </w:p>
    <w:p>
      <w:r>
        <w:rPr>
          <w:b/>
        </w:rPr>
        <w:t>E. 6</w:t>
      </w:r>
    </w:p>
    <w:p>
      <w:r>
        <w:t>Dans ces circonstances, on ne voit pas de motif de revenir sur la jurisprudence actuelle, qui doit au contraire être maintenue. Quant aux questions laissées ouvertes dans l'arrêt ATF 113 V 42 , relatives au caractère thérapeutique et économique de la mesure, elles peuvent encore rester indécises. Il n'y a pas lieu, au surplus, de surseoir à statuer jusqu'au moment où la commission des prestations aura pris une décision définitive, contrairement à ce que voudrait l'intimée. Selon l' art. 135 OJ , en corrélation avec l' art. 40 OJ et l' art. 6 al. 1 PCF , le Tribunal fédéral des assurances peut ordonner la suspension de la procédure pour des raisons d'opportunité, notamment lorsque le jugement d'un autre litige peut influencer l'issue du procès. Il ne s'agit là que d'une faculté laissée à sa libre appréciation. En l'espèce, le traitement litigieux remonte à fin 1989/début 1990. C'est par rapport à cette époque que la question de sa prise en charge doit se poser. Si la commission des prestations devait recommander, en août 1993, une prise en charge de la FIVETE, ce serait plus en raison d'un changement fondamental des circonstances qu'en raison d'une meilleure connaissance de celles-ci; son appréciation, fondée sur une situation nouvelle, n'aurait pas de conséquences sur des faits plus ou moins reculés dans le temps; elle n'aurait d'effet que pour le futur. On notera d'ailleurs que les faits de la présente cause sont antérieurs à l'arrêt D., déjà cité, par lequel le Tribunal fédéral des assurances avait confirmé la jurisprudence de l'arrêt ATF 113 V 42 .</w:t>
      </w:r>
    </w:p>
    <w:p>
      <w:r>
        <w:rPr>
          <w:b/>
        </w:rPr>
        <w:t>E. 7</w:t>
      </w:r>
    </w:p>
    <w:p>
      <w:r>
        <w:t>De ce qui précède, il résulte que la recourante était en droit de refuser la prise en charge du traitement litigieux. De même, elle était fondée à répéter les prestations déjà allouées, conformément à la règle de l' art. 47 al. 1 LAVS (qui est également applicable en matière d'assurance-maladie; cf. RAMA 1990 no K 835 p. 80) et aux conditions qui président à la révocation par son auteur d'une décision administrative, formelle ou non ( ATF 112 V 373 consid. 2c, ATF 111 V 332 consid. 1, ATF 110 V 178 consid. 2a).</w:t>
      </w:r>
    </w:p>
    <w:p>
      <w:r>
        <w:rPr>
          <w:b/>
        </w:rPr>
        <w:t>E. 8</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