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135</w:t>
      </w:r>
    </w:p>
    <w:p>
      <w:r>
        <w:t>Bundesgericht (BGE), 1993-01-01, DE</w:t>
      </w:r>
    </w:p>
    <w:p>
      <w:r>
        <w:rPr>
          <w:b/>
        </w:rPr>
        <w:t xml:space="preserve">Quelle: </w:t>
      </w:r>
      <w:r>
        <w:t>https://mcp.opencaselaw.ch/entscheid/bge_BGE_119_V_135</w:t>
      </w:r>
    </w:p>
    <w:p>
      <w:r>
        <w:t>FR: ATF 119 V 135</w:t>
      </w:r>
    </w:p>
    <w:p>
      <w:r>
        <w:t>IT: DTF 119 V 135</w:t>
      </w:r>
    </w:p>
    <w:p>
      <w:pPr>
        <w:pStyle w:val="Heading2"/>
      </w:pPr>
      <w:r>
        <w:t>Regeste</w:t>
      </w:r>
    </w:p>
    <w:p>
      <w:r>
        <w:t>Regeste Art. 27 BVG, Art. 331a, 331b, 331c und Art. 342 Abs. 1 lit. a OR, § 23 und 24 des Gesetzes über die Pensionskasse des Kantons Zug (PKG). - Regelungen öffentlichrechtlicher Vorsorgeeinrichtungen, wonach dem ausscheidenden Versicherten eine Freizügigkeitsleistung nur mitgegeben wird, wenn er keine Leistungen wegen unverschuldeter Nichtwiederwahl oder Entlassung beanspruchen kann, sind bundesrechtswidrig (E. 4b). Den öffentlichrechtlichen Vorsorgeeinrichtungen steht es frei anzuordnen, dass die Freizügigkeitsleistung bei Übertritt in eine andere Kasse den Anspruch auf die für den Fall der unverschuldeten Nichtwiederwahl oder Entlassung vorgesehenen Leistungen (Abfindung, Rente) ausschliesst (E. 5a). - Die Bestimmungen des zugerischen PKG können nicht in dem Sinne ausgelegt werden, dass Leistungen für den Fall der unverschuldeten Nichtwiederwahl oder Entlassung jedenfalls dann entfallen, wenn der Versicherte im Rahmen der zwischen den öffentlichrechtlichen Vorsorgeeinrichtungen bestehenden Freizügigkeitsvereinbarung in eine andere Kasse übertritt (E. 5b). - Anrechnung der Freizügigkeitsleistung bei der Festsetzung der wegen unverschuldeter Auflösung des Dienstverhältnisses geschuldeten Rente (E. 6).</w:t>
      </w:r>
    </w:p>
    <w:p>
      <w:r>
        <w:t>Regeste Art. 27 LPP, art. 331a, 331b, 331c et 342 al. 1 let. a CO, § 23 et 24 de la loi sur la Caisse de pensions du canton de Zoug. - Sont contraires au droit fédéral les réglementations des institutions de prévoyance de droit public, selon lesquelles l'assuré sortant n'a droit à une prestation de libre passage que s'il ne peut prétendre les prestations prévues en cas de non-réélection ou de résiliation des rapports de service sans faute de la part du fonctionnaire (consid. 4b). Il est loisible aux institutions de prévoyance de droit public de prévoir que la prestation de libre passage, en cas d'affiliation à une nouvelle caisse, exclut le droit aux prestations (indemnité en capital, rente) pour non-réélection ou résiliation des rapports de service sans faute de l'assuré (consid. 5a). - Les dispositions régissant la Caisse de pensions du canton de Zoug ne peuvent pas être interprétées en ce sens que la caisse est libérée du paiement des prestations en cas de non-réélection ou de résiliation des rapports de service, sans faute de la part du fonctionnaire, si ce dernier entre dans une nouvelle caisse en bénéficiant de la convention de libre passage entre institutions de prévoyance de droit public (consid. 5b). - Imputation de la prestation de libre passage lors de la fixation de la rente due en raison d'une résiliation des rapports de service sans qu'il y ait faute de la part de l'assuré (consid. 6).</w:t>
      </w:r>
    </w:p>
    <w:p>
      <w:r>
        <w:t>Regesto Art. 27 LPP, art. 331a, 331b, 331c e 342 cpv. 1 lett. a CO, § 23 e 24 della legge sulla Cassa pensioni del cantone Zugo. - Contrarie al diritto federale sono le regole di istituti di previdenza di diritto pubblico, in virtù delle quali l'assicurato uscente ha diritto a una prestazione di libero passaggio solo se non possa pretendere le prestazioni previste nel caso di mancata conferma o di rimozione dalla carica senza colpa del funzionario (consid. 4b). È lecito alle istituzioni di previdenza di diritto pubblico di prevedere che la prestazione di libero passaggio, in caso di affiliazione a una nuova cassa, escluda il diritto alle prestazioni (indennità in capitale, rendita) per mancata conferma o rimozione dalla carica senza colpa dell'assicurato (consid. 5a). - Le disposizioni della Cassa pensioni del cantone Zugo non possono essere interpretate nel senso che la cassa venga liberata dal pagamento di prestazioni in caso di mancata conferma o rimozione senza colpa del funzionario, se quest'ultimo entra in una nuova cassa beneficiando della clausola di libero passaggio tra istituzioni di previdenza del diritto pubblico (consid. 5b). - Imputazione della prestazione di libero passaggio al momento della determinazione della rendita dovuta a motivo di una rimozione dalla carica senza colpa dell'assicurato (consid. 6).</w:t>
      </w:r>
    </w:p>
    <w:p>
      <w:pPr>
        <w:pStyle w:val="Heading2"/>
      </w:pPr>
      <w:r>
        <w:t>Erwägungen</w:t>
      </w:r>
    </w:p>
    <w:p>
      <w:r>
        <w:rPr>
          <w:b/>
        </w:rPr>
        <w:t>E. 4</w:t>
      </w:r>
    </w:p>
    <w:p>
      <w:r>
        <w:t>a) Nach dem am 1. Januar 1985 in Kraft getretenen BVG ist dem Versicherten, im Sinne eines Minimalanspruches ( Art. 6 BVG ), bei Beendigung des Arbeitsverhältnisses die Erhaltung des Vorsorgeschutzes durch die Freizügigkeitsleistung gewährleistet ( Art. 27 Abs. 1 BVG ). Der Versicherte hat Anspruch auf eine Freizügigkeitsleistung, wenn sein Arbeitsverhältnis vor Eintritt eines Versicherungsfalles aufgelöst wird und er die Vorsorgeeinrichtung verlässt ( Art. 27 Abs. 2 BVG ). Gemeint sind damit die Versicherungsfälle des Todes, der Invalidität und des Erreichens des Schlussalters, somit die im Bereich der beruflichen Vorsorge im engern Sinn versicherten Risiken. Nach Art. 28 Abs. 1 BVG entspricht die Höhe der Freizügigkeitsleistung dem vom Versicherten bis zu deren Überweisung erworbenen Altersguthaben. Diese Bestimmungen über die minimale Freizügigkeitsleistung im Obligatoriumsbereich gelten für alle BVG-pflichtigen privat- und öffentlichrechtlichen Anstellungsverhältnisse und gehen kantonalen Bestimmungen vor. Nicht anders verhält es sich, soweit der Anspruch des austretenden Versicherten auf Freizügigkeitsleistung aus weitergehender Vorsorge im Streit liegt. Gemäss Art. 331c OR hat die Personalfürsorgeeinrichtung ihre der Forderung des Arbeitnehmers entsprechende Schuldpflicht in der Weise zu erfüllen, dass sie zu dessen Gunsten eine Forderung auf künftige Vorsorgeleistungen gegen die Personalfürsorgeeinrichtung eines anderen Arbeitgebers, gegen eine der Versicherungsaufsicht unterstellte Unternehmung oder, unter voller Wahrung des Vorsorgeschutzes, gegen eine Bank oder Sparkasse begründet, welche die vom Bundesrat festgesetzten Bedingungen erfüllt (Abs. 1). Unter anderem diese Bestimmung über die Erfüllung BGE 119 V 135 S. 138 des Anspruchs des austretenden Versicherten auf Freizügigkeitsleistung im Bereich der weitergehenden Vorsorge hat der Gesetzgeber im Zusammenhang mit dem Inkrafttreten des BVG auf den 1. Januar 1985 für die öffentlichrechtlichen Dienstverhältnisse von Bund, Kantonen und Gemeinden für massgeblich erklärt ( Art. 342 Abs. 1 lit. a OR e contrario; BGE 113 V 124 ff. E. 3a-c). Auch diese Bestimmungen des Bundesrechts über die Erfüllung des Anspruchs auf Freizügigkeitsleistung im Bereich der weitergehenden beruflichen Vorsorge gehen kantonalen Bestimmungen vor. b) Die öffentlichrechtlichen Vorsorgeeinrichtungen sehen neben den Versicherungsleistungen im engeren Sinn (Alters-, Hinterlassenen- und Invalidenleistungen) in der Regel besondere Leistungen für den Fall der unverschuldeten Nichtwiederwahl oder Entlassung vor (vgl. hiezu JUD, Besonderheiten öffentlichrechtlicher Dienstverhältnisse nach schweizerischem Recht, insbesondere bei deren Beendigung aus nichtdisziplinarischen Gründen, Diss. Freiburg 1975, S. 249 ff.). Sie bestehen je nach Dauer des Dienstverhältnisses aus Abfindungen oder Renten, wobei die Entlassungsrenten meist in Form der Invalidenrente zur Ausrichtung gelangen (vgl. z.B. Art. 32 der Statuten der Eidg. Versicherungskasse (EVK-Statuten) vom 2. März 1987, SR 172.222.1; Art. 47 des Dekretes über die Versicherungskasse der bernischen Staatsverwaltung vom 16. Mai 1989, BSG 153.41; § 36 des Gesetzes betreffend die Pensionskasse des Basler Staatspersonals vom 20. März 1980, SG 166.100). Das Verhältnis zu den Freizügigkeitsleistungen (meist als Austrittsentschädigung bezeichnet) ist oft in der Weise geordnet, dass eine Freizügigkeitsleistung nur beanspruchen kann, wem keine Kassenleistung, insbesondere auch keine Entlassungsrente oder Abfindung zusteht. Nach den erwähnten, auch im Bereich des kantonalen Vorsorgerechts massgebenden Bestimmungen von Art. 27 Abs. 2 BVG und Art. 331a Abs. 1 und Art. 331b Abs. 1 OR besteht kein Anspruch auf Freizügigkeitsleistung, soweit bei Auflösung des Dienstverhältnisses Versicherungsleistungen im engern Sinn beansprucht werden können. Der Grundsatz der Subsidiarität der Freizügigkeitsleistung gegenüber den Versicherungsleistungen (RIEMER, Das Recht der beruflichen Vorsorge in der Schweiz, S. 116 N 22) gilt dagegen nicht hinsichtlich der von öffentlichrechtlichen Vorsorgeeinrichtungen für den Fall der unverschuldeten Nichtwiederwahl oder Entlassung vorgesehenen Abfindungen und Renten, welche nicht zu den Versicherungsleistungen im engern Sinn gehören. Gegenüber diesen Leistungen hat der aus einer öffentlichrechtlichen Vorsorgeeinrichtung austretende Versicherte von Bundesrechts wegen einen prioritären Anspruch auf Freizügigkeit, welcher mindestens Art. 331b OR genügen muss. Vorsorgerechtliche Bestimmungen, wonach dem ausscheidenden Versicherten eine Freizügigkeitsleistung nur mitgegeben wird, wenn er keine Versicherungsleistungen bezieht, halten daher vor dem seit 1. Januar 1985 in Kraft stehenden Bundesrecht BGE 119 V 135 S. 139 nicht stand, soweit damit ein Anspruch auf Freizügigkeitsleistung auch gegenüber Leistungen wegen unverschuldeter Nichtwiederwahl oder Entlassung des Versicherten ausgeschlossen wird.</w:t>
      </w:r>
    </w:p>
    <w:p>
      <w:r>
        <w:rPr>
          <w:b/>
        </w:rPr>
        <w:t>E. 5</w:t>
      </w:r>
    </w:p>
    <w:p>
      <w:r>
        <w:t>Damit ist indessen nicht gesagt, dass die Freizügigkeitsleistung (Austrittsentschädigung) Kassenleistungen aus der beruflichen Vorsorge im weiteren Sinn ausschliesst, wozu Abfindung und Entlassungsrente nach den im vorliegenden Fall anwendbaren §§ 23 und 24 des Gesetzes über die Pensionskasse des Kantons Zug vom 25. Februar 1982 (PKG) gehören. a) Den öffentlichrechtlichen Vorsorgeeinrichtungen steht es im Rahmen der weitergehenden beruflichen Vorsorge frei, ob und unter welchen Voraussetzungen sie besondere Leistungen für den Fall der unverschuldeten Nichtwiederwahl oder Entlassung aus dem Dienstverhältnis vorsehen wollen. Der Pensionskassengesetzgeber kann daher auch anordnen, dass die Freizügigkeitsleistung bei Übertritt in eine andere Vorsorgeeinrichtung den Anspruch auf Abfindung oder Rente wegen Auflösung des Dienstverhältnisses ausschliesst. Das zugerische Pensionskassengesetz enthält keine Bestimmung, wonach der Anspruch auf Abfindung oder Entlassungsrente entfällt, wenn eine Austrittsentschädigung nach § 22 PKG ausgerichtet wird. Dass eine Kumulation der Leistungen jedenfalls dann ausgeschlossen ist, wenn der Versicherte "freizügig" in eine andere (öffentlichrechtliche) Vorsorgeeinrichtung übertritt, ergibt sich weder aus dem Wortlaut noch aus der Systematik des PKG. Nach den unbestritten gebliebenen Feststellungen der Vorinstanz enthalten auch die Materialien zum PKG keine Anhaltspunkte für die von den Beschwerdeführern vertretene Auffassung. Fraglich ist, ob sich ein solcher Ausschluss aus Sinn und Zweck der Pensionskassenregelung ergibt. b) Die Beschwerdeführer machen geltend, die Leistungen nach §§ 23 und 24 PKG dienten der Milderung der mit einer unverschuldeten und nicht selbst veranlassten Auflösung des Dienstverhältnisses verbundenen Einbussen bezüglich der beruflichen Vorsorge. Grundsätzlich keine Einbusse bestehe aber, wenn ein Übertritt in eine andere Vorsorgeeinrichtung aufgrund der Vereinbarung über die Freizügigkeit zwischen Pensionskassen vom 1. Januar 1970 oder der ab 1991 gültigen Nachfolgevereinbarung Platz greife. Die Beschwerdeführer räumen indessen selber ein, dass je nach Anstellungsbedingungen und Versicherungsplan im Rahmen des neuen Dienstverhältnisses Beeinträchtigungen der bisherigen Anwartschaften nicht ausgeschlossen sind. Wie die Vorinstanz unwidersprochen ausführt, zeigt gerade der vorliegende Fall einer mit dem BGE 119 V 135 S. 140 Stellenwechsel verbundenen Lohneinbusse, dass die unverschuldete Auflösung des Dienstverhältnisses nach langer Dienstdauer trotz Freizügigkeitsabkommen finanzielle Auswirkungen haben kann, die je nach den Umständen als Härte erscheinen. Dazu kommt, dass Leistungen für den Fall der unverschuldeten Nichtwiederwahl oder Entlassung nicht notwendigerweise auf den Ausgleich vorsorgerechtlicher Einbussen beschränkt sind, sondern darüber hinaus eine unmittelbar aus dem Dienstverhältnis folgende Entschädigung für geleistete Arbeit umfassen können (vgl. JUD, a.a.O., S. 245 f.). Aus dem Zweck von §§ 23 und 24 PKG lässt sich daher nicht schon darauf schliessen, dass Ansprüche aufgrund dieser Bestimmungen regelmässig entfallen, wenn der ausscheidende Versicherte in eine andere, dem Freizügigkeitsabkommen angeschlossene Vorsorgeeinrichtung übertritt. Nach dem Gesagten muss es mangels einer ausdrücklichen gegenteiligen Regelung bei der Feststellung bleiben, dass die Ausrichtung einer Austrittsentschädigung nach § 22 PKG den Anspruch auf Leistungen gemäss §§ 23 und 24 PKG auch im Falle eines freizügigen Übertritts in eine andere Vorsorgeeinrichtung nicht ausschliesst. Die Beschwerdegegnerin hat dem Grundsätze nach somit Anspruch auf eine Entlassungsrente nach § 23 PKG, da sie sämtliche materiellrechtlichen Voraussetzungen dieses Leistungsanspruchs erfüllt.</w:t>
      </w:r>
    </w:p>
    <w:p>
      <w:r>
        <w:rPr>
          <w:b/>
        </w:rPr>
        <w:t>E. 6</w:t>
      </w:r>
    </w:p>
    <w:p>
      <w:r>
        <w:t>Zu prüfen bleibt, wie sich die von der Beschwerdeführerin der Beamtenversicherungskasse des Kantons Zürich überwiesene Freizügigkeitsleistung auf Dauer und Mass der Rentenberechtigung auswirkt. a) Bezüglich der Leistungsdauer nimmt das kantonale Gericht zu Recht an, dass die Rente nach § 23 PKG spätestens im Mai 1997 endet, wenn die Versicherte das Rücktrittsalter gemäss PKG erreicht. Zwar lässt § 23 PKG nicht direkt erkennen, dass die Entlassungsrente mit dem Erreichen des Schlussalters ihr Ende findet. Die im zweiten Satz dieser Bestimmung normierte Pflicht des Arbeitgebers, der Kasse die vor erreichtem Rücktrittsalter ausbezahlten Renten zurückzuerstatten, besteht nun aber in jedem Leistungsfall gemäss § 23 PKG, gleichgültig ob der aus dem Staatsdienst Ausscheidende - wie hier - aus der Kasse austritt oder ob er nach Massgabe von § 22 Abs. 1 PKG in der Kasse verbleibt mit der Folge, dass er keine Freizügigkeitsleistung beanspruchen kann, wohl aber bei Erreichen des Schlussalters eine die Entlassungsrente ablösende Altersrente. Daraus geht hervor, dass die Ausrichtung der Entlassungsrente nicht über das Schlussalter hinaus andauert, in welchem Zeitpunkt, bei BGE 119 V 135 S. 141 Austritt aus der Kasse, die Leistungen der neuen Vorsorgeeinrichtung aus beruflicher Vorsorge im engern Sinn zu fliessen beginnen. b) Entgegen den Erwägungen der Vorinstanz kann die Austrittsentschädigung bei der Festsetzung der Entlassungsrente gemäss § 23 PKG nicht unberücksichtigt bleiben. Wenn nämlich die Kantone die Zusprechung der Freizügigkeitsleistung an die negative Voraussetzung knüpfen, dass der Austretende keine Kassenleistungen - insbesondere auch keine Entlassungsrente - bezieht, die Subsidiarität der Freizügigkeitsleistung gegenüber den Leistungen für den Fall der unverschuldeten Nichtwiederwahl oder Entlassung aus Gründen des Bundesrechts seit 1. Januar 1985 jedoch unzulässig ist (E. 4), dann kann die unverändert belassene kantonale Ordnung der Anspruchskonkurrenz nicht so verstanden werden, dass Freizügigkeitsleistung und Entlassungsrente oder Abfindung voll zu kumulieren sind. Vielmehr ist dem Willen des kantonalen Gesetzgebers, innerhalb des vom Bundesrecht gesteckten Rahmens, soweit als möglich, somit in der Weise Rechnung zu tragen, dass die Austrittsentschädigung bei Festsetzung der Entlassungsrente angerechnet wird. Diese Anrechnung ist auch sachlich gerechtfertigt, weil die Kasse mit der Freizügigkeitsleistung ihre Verpflichtungen im Bereich der beruflichen Vorsorge im engern Sinn vollumfänglich erfüllt. Im vorliegenden Fall kommt dazu, dass § 24 PKG für den gleichgelagerten Fall, welcher sich einzig dadurch unterscheidet, dass das Dienstverhältnis vor Vollendung des 15. Dienstjahres schuldlos aufgelöst wird, die Abfindung vorsieht, wobei der letzte Satz der Bestimmung den Arbeitgeber verpflichtet, der Kasse die Differenz zwischen dieser Abfindung und der Austrittsentschädigung gemäss § 22 PKG zurückzuerstatten. Dies bildet ein klares Indiz gegen die von kantonalem Gericht und Beschwerdegegnerin vertretene volle Kumulierung beider Leistungen. In bezug auf § 23 PKG, welcher nach 15 Dienstjahren bei unverschuldeter Entlassung die Berentung vorsieht, kann es sich, aus Gründen der Gleichstellung, nicht anders verhalten. c) Als die am 16. Mai 1935 geborene Beschwerdegegnerin auf Ende April 1988 aus der Pensionskasse ausschied, konnte sie noch mit einer Bezugsdauer von 9 Jahren und 1 Monat für die Entlassungsrente rechnen (§ 15 Abs. 1 PKG). Nach dem Gesagten hat sie sich die an die neue Vorsorgeeinrichtung überwiesene Austrittsentschädigung von Fr. 67'473.40 an die ihr nach § 23 PKG zustehende Entlassungsrente von Fr. 19'053.-- im Jahr anrechnen zu lassen. Dies kann in der Weise geschehen, dass die jährliche BGE 119 V 135 S. 142 Rente um den auf ein Jahr umgerechneten Wert der Freizügigkeitsleistung (Fr. 67'473.40) : 109 (Rentenbezugszeit in Monaten) x 12 = Fr. 7'428.--) gekürzt wird. Die der Beschwerdegegnerin zustehende Rente gemäss § 23 PKG beläuft sich somit auf Fr. 11'625.-- im Jahr.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