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439 vom 19. Oktober 1988</w:t>
      </w:r>
    </w:p>
    <w:p>
      <w:r>
        <w:t>Bundesgericht (BGE), 1988-10-19, DE</w:t>
      </w:r>
    </w:p>
    <w:p>
      <w:r>
        <w:rPr>
          <w:b/>
        </w:rPr>
        <w:t xml:space="preserve">Quelle: </w:t>
      </w:r>
      <w:r>
        <w:t>https://mcp.opencaselaw.ch/entscheid/bge_BGE_119_Ib_439</w:t>
      </w:r>
    </w:p>
    <w:p>
      <w:r>
        <w:t>FR: BGE BGE 119 Ib 439 du 19 octobre 1988</w:t>
      </w:r>
    </w:p>
    <w:p>
      <w:r>
        <w:t>IT: BGE BGE 119 Ib 439 del 19 ottobre 1988</w:t>
      </w:r>
    </w:p>
    <w:p>
      <w:pPr>
        <w:pStyle w:val="Heading2"/>
      </w:pPr>
      <w:r>
        <w:t>Regeste</w:t>
      </w:r>
    </w:p>
    <w:p>
      <w:r>
        <w:t>Regeste Neubau einer Schiessanlage; Art. 2, 14 und 24 RPG; Verordnung über die Umweltverträglichkeitsprüfung vom 19. Oktober 1988. Bauten und Anlagen, für welche eine Umweltverträglichkeitsprüfung vorgeschrieben ist, unterliegen im Regelfall der Planungspflicht und können dementsprechend nicht im Verfahren nach Art. 24 RPG bewilligt werden (E. 4).</w:t>
      </w:r>
    </w:p>
    <w:p>
      <w:r>
        <w:t>Regeste Construction d'un nouveau stand de tir; art. 2, 14 et 24 LAT; ordonnance relative à l'étude de l'impact sur l'environnement. Les constructions et installations soumises à une étude de l'impact sur l'environnement doivent en règle générale faire préalablement l'objet d'un plan d'affectation (obligation d'aménager); elles ne peuvent dès lors pas être autorisées en application de l'art. 24 LAT (consid. 4).</w:t>
      </w:r>
    </w:p>
    <w:p>
      <w:r>
        <w:t>Regesto Costruzione di un nuovo poligono di tiro; art. 2, 14 e 24 LPT; ordinanza concernente l'esame dell'impatto sull'ambiente. Le costruzioni e gli impianti, per i quali è prescritto un esame dell'impatto sull'ambiente, soggiacciono, di regola, all'obbligo di pianificare e non possono quindi essere autorizzati in applicazione dell'art. 24 LPT (consid. 4).</w:t>
      </w:r>
    </w:p>
    <w:p>
      <w:pPr>
        <w:pStyle w:val="Heading2"/>
      </w:pPr>
      <w:r>
        <w:t>Erwägungen</w:t>
      </w:r>
    </w:p>
    <w:p>
      <w:r>
        <w:rPr>
          <w:b/>
        </w:rPr>
        <w:t>E. 4</w:t>
      </w:r>
    </w:p>
    <w:p>
      <w:r>
        <w:t>Die Beschwerdeführer und das Bundesamt für Raumplanung sind der Meinung, die Schiessanlage könne nur auf dem Wege der Nutzungsplanung realisiert werden. a) Wann ein nicht zonenkonformes Vorhaben hinsichtlich seines Ausmasses und seiner Auswirkungen auf die Nutzungsordnung so gewichtig ist, dass es erst nach einer Änderung oder Schaffung eines Nutzungsplanes bewilligt werden darf, ergibt sich aus der Planungspflicht ( Art. 2 RPG ), den Planungsgrundsätzen und -zielen ( Art. 1 und 3 RPG ), dem kantonalen Richtplan ( Art. 6 ff. RPG ) sowie der Bedeutung des Projekts im Lichte der im Raumplanungsgesetz festgelegten Verfahrensordnung (Art. 4 und 33 f. RPG BGE 116 Ib 50 E. 3a S. 53 f. mit Hinweisen). In Beurteilung und Gewichtung der einzelnen räumlichen Auswirkungen hat das Bundesgericht in Anwendung dieser Grundsätze die Planungspflicht für Multikomponenten-Deponien ( BGE 116 Ib 50 E. 3 S. 53), für Anlagen der Kiesausbeutung ( BGE 115 Ib 302 E. 5a S. 306 mit Hinweisen), für Golfplätze ( BGE 114 Ib 312 E. 3 S. 314) und andere grössere Sport- und Freizeitanlagen ( BGE 114 Ib 180 E. 3c S. 186), für grössere Parkplätze ( BGE 115 Ib 508 E. 6a S. 513) und Bootshäfen ( BGE 113 Ib 371 ) bejaht. b) Zufolge der sich bei der Planung stellenden raumrelevanten Fragen und der zu erwartenden Immissionen wird es auch bei Schiessanlagen in aller Regel nur das Verfahren der Nutzungsplanung erlauben, BGE 119 Ib 439 S. 441 einen unter Berücksichtigung aller massgebenden Interessen sachgerechten Standort festzusetzen und dabei die vom Bundesrecht geforderte Mitwirkung der Bevölkerung bei der Planung ( Art. 4 Abs. 2 RPG ; BGE 115 Ia 89 ) sicherzustellen. Zu Recht betont deshalb das eidgenössische Schiessanlagen-Recht die Abstimmung und Koordination der Standortfestsetzung mit der Ortsplanung (Art. 5 der Verfügung des Eidgenössischen Militärdepartements über die Schiessanlagen für das Schiesswesen ausser Dienst vom 6. Mai 1969 (Schiessplatzverfügung; Dok. EMD 51.65); Art. 5 der Verordnung über die Schiessanlagen für das Schiesswesen ausser Dienst vom 27. März 1991 (Schiessanlagen-Verordnung; SR 510.512) ). In diesem Sinne werden im Regelfall Anlagen, für welche eine Umweltverträglichkeitsprüfung vorgeschrieben ist (300-m-Anlagen mit mehr als 15 Scheiben; Ziff. 52.2 des Anhanges zur Verordnung über die Umweltverträglichkeitsprüfung vom 19. Oktober 1988 (UVPV; SR 814.011)), nur auf dem Wege der Nutzungsplanung realisierbar sein (vgl. BGE 114 Ia 114 ). Es gilt dies namentlich für Anlagen in noch dichter besiedelten Gebieten und mit noch grösseren Nutzungskonflikten als dies hier zutrifft. c) Im vorliegenden Fall ist das von den kantonalen Behörden gewählte Verfahren mit dem Bundesrecht vereinbar. Es geht um einen Schiessstand mit acht Scheiben. Für den Kugelfang ist eine Erdaufschüttung von rund 30 Metern Länge, 15 Metern Breite und ca. 4 Metern Maximalhöhe vorgesehen. Gemäss den Baugesuchsplänen sind im Schützenhaus nebst den dem Schiessbetrieb dienenden Räumlichkeiten ein Aufenthaltsraum ohne Kochgelegenheit, jedoch mit Toiletten geplant. Das Schützenhaus soll mit Quellwasser versorgt, die Abwässer über eine periodisch zu entleerende, abflusslose Jauchegrube entsorgt werden. Es sind 17 Abstellplätze mit Kiesbelag geplant, und das Schützenhaus soll über den bestehenden landwirtschaftlichen Weg mit einem neuen Einlenker an die Kantonsstrasse angeschlossen werden. In Anbetracht der Grösse, der Nutzungsintensität, der Auswirkungen auf Umwelt, sowie in Beachtung der erforderlichen Erschliessungsarbeiten, kann die geplante Baute nicht mit jenen Anlagen verglichen werden, für deren Realisierung die Rechtsprechung bisher eine Nutzungsplanung verlangt hat. Das Bundesgericht hat es denn auch noch in jüngster Zeit zugelassen, dass kleinere Schiessanlagen im Verfahren nach Art. 24 RPG bewilligt werden ( BGE 114 Ib 125 E. 4c S. 130; BGE 112 Ib 39 E. 5 S. 48). Es besteht kein Anlass, vorliegend von dieser Praxis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