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250 vom 1. Januar 1993</w:t>
      </w:r>
    </w:p>
    <w:p>
      <w:r>
        <w:t>Bundesgericht (BGE), 1993-01-01, FR</w:t>
      </w:r>
    </w:p>
    <w:p>
      <w:r>
        <w:rPr>
          <w:b/>
        </w:rPr>
        <w:t xml:space="preserve">Quelle: </w:t>
      </w:r>
      <w:r>
        <w:t>https://mcp.opencaselaw.ch/entscheid/bge_BGE_119_Ib_250</w:t>
      </w:r>
    </w:p>
    <w:p>
      <w:r>
        <w:t>FR: BGE BGE 119 Ib 250 du 1 janvier 1993</w:t>
      </w:r>
    </w:p>
    <w:p>
      <w:r>
        <w:t>IT: BGE BGE 119 Ib 250 del 1 gennaio 1993</w:t>
      </w:r>
    </w:p>
    <w:p>
      <w:pPr>
        <w:pStyle w:val="Heading2"/>
      </w:pPr>
      <w:r>
        <w:t>Regeste</w:t>
      </w:r>
    </w:p>
    <w:p>
      <w:r>
        <w:t>Regeste Teilnahme von politischen Gruppierungen an Fernsehsendungen zu eidgenössischen Wahlen. Die Richtlinien der SRG von 1991 tragen der vom Bundesgericht im Urteil Vigilance (BGE 97 I 731 ff.) geäusserten Kritik Rechnung; sie berücksichtigen besser die Interessen der kleinsten politischen Parteien oder Bewegungen innerhalb eines einzelnen Sprachgebiets. Derartige Gruppierungen können aber jedenfalls nicht gleichviel Sendezeit beanspruchen wie die wichtigeren politischen Parteien und Gruppen und müssen auch nicht zu den gleichen Sendezeiten zugelassen werden.</w:t>
      </w:r>
    </w:p>
    <w:p>
      <w:r>
        <w:t>Regeste Participation d'un mouvement politique aux émissions de télévision relatives aux élections fédérales. Les directives de la SSR de 1991 tiennent compte des critiques émises par le Tribunal fédéral dans l'arrêt Vigilance (ATF 97 I 731 ss) et prennent mieux en considération les intérêts des plus petits partis ou mouvements politiques implantés dans une seule région linguistique; ceux-ci ne sauraient toutefois revendiquer un temps d'antenne semblable aux formations politiques plus importantes et aux mêmes heures d'écoute.</w:t>
      </w:r>
    </w:p>
    <w:p>
      <w:r>
        <w:t>Regesto Partecipazione di un movimento politico a trasmissioni televisive concernenti le elezioni federali. Le direttive della SSR del 1991 tengono conto delle critiche espresse dal Tribunale federale nella sentenza Vigilance (DTF 97 I 731 segg.) e considerano meglio gli interessi dei partiti minori o dei movimenti politici impiantati in un'unica regione linguistica; tali organizzazioni non possono però rivendicare un tempo di trasmissione pari a quello delle formazioni più importanti ed agli stessi orari di ascolto.</w:t>
      </w:r>
    </w:p>
    <w:p>
      <w:pPr>
        <w:pStyle w:val="Heading2"/>
      </w:pPr>
      <w:r>
        <w:t>Erwägungen</w:t>
      </w:r>
    </w:p>
    <w:p>
      <w:r>
        <w:rPr>
          <w:b/>
        </w:rPr>
        <w:t>E. 3</w:t>
      </w:r>
    </w:p>
    <w:p>
      <w:r>
        <w:t>a) Sur le fond, les recourants se plaignent de l'inconstitutionnalité des conditions d'admission aux émissions électorales, posées par les directives de la SSR du 24 janvier 1991. Ils soutiennent notamment que la SSR aurait violé le devoir d'objectivité que lui impose la concession en n'accordant pas aux nouveaux partis ou mouvements un temps d'antenne aux mêmes heures que celui prévu pour les partis parlementaires, soit après le téléjournal de 19 h 30. Les trois minutes d'antenne accordées à Légital après 23 h, sans indication dans les programmes de la télévision, revenaient ainsi à priver cette association de participation aux émissions électorales. b) D'une manière générale, il n'existe pas de droit à l'antenne qui puisse être déduit des dispositions constitutionnelles ou légales prévoyant que la radio et la télévision contribuent à la libre information de l'opinion ( art. 55bis al. 2 Cst. , art. 3 et 4 LRTV , art. 4 de la concession de la SSR; voir également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c) En l'espèce, les directives de la SSR du 24 janvier 1991 tiennent compte des remarques émises par le Tribunal fédéral au sujet des critères d'admission aux émissions électorales ( ATF 97 I 735 ) et sont donc moins sévères que celles critiquées, mais pas annulées, de BGE 119 Ib 250 S. 253 1971. Elles prennent mieux en considération les intérêts des petits partis, notamment lorsque certains d'entre eux ne sont implantés que dans une seule région linguistique. Elles n'exigent plus de pouvoir faire état d'un groupe sortant aux Chambres fédérales, mais admettent qu'un seul parlementaire suffit. On ne saurait ainsi reprocher à la SSR d'avoir négligé des petits partis cantonaux, puisqu'elle leur octroie un droit de participation, s'ils présentent une liste dans leur canton et ont 7% des sièges au Grand Conseil. A cet égard, la SSR estime qu'elle a fait un effort particulier pour élargir la participation aux émissions électorales fédérales de 1991, acceptant onze partis en Suisse romande sur les vingt-quatre listes déposées. Quant aux partis et mouvements politiques ayant bénéficié des nouvelles émissions offrant un cadre plus modeste au sens du chiffre 3.2 des directives, elle relève que, contrairement à ce que soutiennent les recourants, la presse en rendait compte dans la présentation des programmes. Dans ces circonstances, la SSR n'a pas dépassé le cadre de ses pouvoirs, ni violés son devoir d'objectivité en accordant aux plus petits partis ou mouvements politiques un temps d'écoute moins grand et à des heures moins favorables qu'à celui octroyé aux formations plus importantes, déjà représentées au Parlement ou dans un législatif cantonal. Les choix opérés par la SSR résultent des autres obligations (divertissement, éducation, etc.) qu'elle doit poursuivre pendant la durée de la campagne, ainsi que du nombre de partis susceptibles d'y participer. La solution ainsi retenue par le chiffre 3.2 des directives n'est pas critiquable; elle est notamment fondée sur le principe contenu au chiffre 4.1, selon lequel les temps d'émission seront déterminés en fonction de l'importance numérique des partis. S'il est certes essentiel que l'auditeur et le téléspectateur puissent prendre connaissance de la diversité des idées, il n'est toutefois pas nécessaire de donner le même espace à toutes les idées pour que leur diversité soit convenablement reflétée (DENIS BARRELET, Droit suisse des mass media, 2e éd. 1987, n. 178, p. 72). En tant que petite formation politique représentée uniquement dans le canton de Genève, Légital n'avait donc aucun droit de revendiquer un temps d'antenne semblable aux partis politiques déjà connus. d) Beaucoup plus discutable apparaît en revanche la règle selon laquelle l'accès des plus petits partis serait limité à un seul média, radio ou télévision (ch. 4.3). Cette question peut cependant rester ouverte, dès lors qu'elle ne s'est pas posée dans le présent litige et n'a pas davantage été soulevée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