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124 vom 1. Januar 1993</w:t>
      </w:r>
    </w:p>
    <w:p>
      <w:r>
        <w:t>Bundesgericht (BGE), 1993-01-01, DE</w:t>
      </w:r>
    </w:p>
    <w:p>
      <w:r>
        <w:rPr>
          <w:b/>
        </w:rPr>
        <w:t xml:space="preserve">Quelle: </w:t>
      </w:r>
      <w:r>
        <w:t>https://mcp.opencaselaw.ch/entscheid/bge_BGE_119_Ib_124</w:t>
      </w:r>
    </w:p>
    <w:p>
      <w:r>
        <w:t>FR: BGE BGE 119 Ib 124 du 1 janvier 1993</w:t>
      </w:r>
    </w:p>
    <w:p>
      <w:r>
        <w:t>IT: BGE BGE 119 Ib 124 del 1 gennaio 1993</w:t>
      </w:r>
    </w:p>
    <w:p>
      <w:pPr>
        <w:pStyle w:val="Heading2"/>
      </w:pPr>
      <w:r>
        <w:t>Regeste</w:t>
      </w:r>
    </w:p>
    <w:p>
      <w:r>
        <w:t>Regeste Art. 5 Abs. 2 RPG; materielle Enteignung; Schutzzonenfestsetzung durch den Kanton. 1. Zusammenfassung der Rechtsprechungsgrundsätze zur materiellen Enteignung; die Festsetzung von Zonen gemäss Art. 14 ff. RPG in Erfüllung des Raumplanungsauftrages (Art. 22quater BV) ist Ausgestaltung der verfassungsrechtlichen Eigentumsordnung (Art. 22ter BV; E. 2). 2. Anforderungen des Bundesrechts an Zonenpläne; Nichteinzonung (E. 3). 3. Eine für sich allein betrachtet überbaubare Parzelle ist nicht baureif, wenn eine systematischen Quartiererschliessung und notwendige Parzellarordnungsmassnahmen fehlen (E. 4a). Begriff des weitgehend überbauten Gebiets (E. 4b). 4. Kein schutzwürdiges Vertrauen auf den Weiterbestand einer altrechtlichen Bauzone, - wenn eine Gemeinde auf eine den Anforderungen des Bundesrechts entsprechende Bauzonenbegrenzung verzichtet hat (E. 4c, aa); - wenn erste Planentwürfe den Einbezug einer Parzelle in ein Schutzgebiet noch nicht vorsehen (E. 4c, aa); Tragweite von fiskalischen Aspekten (E. 4c, bb) und von entschädigungsfreundlichen Äusserungen bei der politischen Beratung einer Schutzzonenfestsetzung (E. 4c, cc).</w:t>
      </w:r>
    </w:p>
    <w:p>
      <w:r>
        <w:t>Regeste Art. 5 al. 2 LAT; expropriation matérielle; création d'une zone protégée cantonale. 1. Résumé de la jurisprudence relative à l'expropriation matérielle; l'adoption des zones selon les art. 14 ss LAT dans l'accomplissement du mandat constitutionnel d'aménager le territoire (art. 22quater Cst.) concrétise la garantie de la propriété (art. 22ter Cst.; consid. 2). 2. Exigences du droit fédéral relatives aux plans de zones; refus de classement (consid. 3). 3. Une parcelle qui, considérée pour elle-même, est bâtissable, n'est toutefois pas apte à la construction, lorsque l'équipement complet du quartier et les mesures nécessaires au lotissement font défaut (consid. 4a). Notion de domaine largement bâti (consid. 4b). 4. Pas de droit au maintien d'une zone à bâtir adoptée sous l'ancien droit, - lorsqu'une commune a négligé de réduire la zone à bâtir conformément au droit fédéral (consid. 4c, aa); - lorsque les premiers projets de plan n'avaient pas prévu l'inclusion d'une parcelle dans un périmètre protégé (consid. 4c, aa); portée de considérations fiscales (consid. 4c, bb) et de déclarations favorables à l'expropriation lors du débat parlementaire concernant l'adoption d'une zone protégée (consid. 4c, cc).</w:t>
      </w:r>
    </w:p>
    <w:p>
      <w:r>
        <w:t>Regesto Art. 5 cpv. 2 LPT; espropriazione materiale; istituzione di zone di protezione cantonali. 1. Riepilogo dei principi giurisprudenziali relativi all'espropriazione materiale; l'istituzione di zone giusta gli art. 14 segg. LPT in esecuzione del mandato costituzionale di pianificare il territorio (art. 22quater Cost.) concreta la garanzia della proprietà (art. 22ter Cost.; consid. 2). 2. Esigenze poste dal diritto federale ai piani di zona; rifiuto di attribuire un fondo alla zona edificabile (consid. 3). 3. Una particella che, considerata di per sé, è edificabile, non è tuttavia atta alla costruzione quando l'urbanizzazione completa del quartiere e le misure necessarie alla lottizzazione fanno difetto (consid. 4a). Nozione di terreni già edificati in larga misura (consid. 4b). 4. Nessun diritto al mantenimento di una zona edificabile istituita in base al diritto previgente, - quando un comune ha omesso di ridurre la zona edificabile conformemente al diritto federale (consid. 4c, aa); - quando i primi progetti di piano non prevedono ancora l'inclusione di una particella in un perimetro protetto (consid. 4c, aa); portata di considerazioni fiscali (consid. 4c, bb) e di dichiarazioni favorevoli all'espropriazione nell'ambito del dibattito parlamentare concernente l'istituzione di una zona di protezione (consid. 4c, cc).</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des Bundesgesetzes über die Raumplanung vom 22. Juni 1979 [Raumplanungsgesetz, RPG; SR 700] ) durch Nutzungspläne (Botschaft, BBl 1967 II 139 f., 141; WALTER HALLER/PETER KARLEN, Raumplanungs- und Baurecht, 2. Aufl., Zürich 1992, S. 20 f., 35 ff.; LEO SCHÜRMANN, Bau- und Planungsrecht, 2. Aufl., Bern 1984, S. 153 ff.; MARTIN LENDI/HANS ELSASSER, Raumplanung in der Schweiz, 3. Aufl., Zürich 1991, S. 95, 188, 210, 226 f.). Die Nutzungspläne haben vorab Bau-, Landwirtschafts- und Schutzzonen zu unterscheiden ( Art. 14 RPG ). Diese Anordnung des Raumplanungsgesetzes knüpft an die vom Bundesgesetz über den Schutz der Gewässer gegen Verunreinigung vom 8. Oktober 1971 (AS 1972 I 950ff.; ersetzt seit 1. November 1992 durch das Bundesgesetz über den Schutz der Gewässer vom 24. Januar 1991 [Gewässerschutzgesetz, GSchG; SR 814.20]) und vom Bundesbeschluss vom 17. März 1972 über dringliche Massnahmen auf dem Gebiete der Raumplanung (BMR; AS 1972 I 644ff.) geschaffene Ordnung an ( BGE 105 Ia 336 ff. E. 3c und d). Das für die Überbauung bestimmte Land ist in Beachtung der Grundsatzbestimmung BGE 119 Ib 124 S. 128 von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Die Festsetzung dieser Zonen in Erfüllung des Raumplanungsauftrages ( Art. 22quater BV ), welcher namentlich die Trennung des Baugebietes vom Nichtbaugebiet verlangt (vgl. Art. 24 RPG ; Botschaft, BBl 1967 II 139f.), ist Ausgestaltung der verfassungsrechtlichen Eigentumsordnung und damit Konkretisierung der verfassungsrechtlich garantierten Eigentumsrechte ( Art. 22ter BV ), wie dies das Bundesgericht bereits in BGE 105 Ia 336 E. 3c erkannte (GEORG MÜLLER, Privateigentum heute, ZSR 100/1981 II S. 65, 87 ff.; RICCARDO JAGMETTI in Kommentar BV, Art. 22quater, Rz. 86). Die Zuweisung von Land in eine Nichtbauzone bei der erstmaligen Schaffung einer raumplanerischen Grundordnung, welche den verfassungsrechtlichen und gesetzlichen Anforderungen entspricht, ist deshalb als Anwendungsfall der in der Regel entschädigungslos zulässigen Inhaltsbestimmung des Grundeigentums zu betrachten ( BGE 118 Ib 40 E. 2a; Urteil des Bundesgerichtes vom 2. Oktober 1991, publiziert in ZBl 93/1992 S. 374 f.; ENRICO RIVA, Hauptfragen der materiellen Enteignung, Bern, 1990, S. 178). b) Eine auf eine Planung zurückzuführende Eigentumsbeschränkung kommt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118 Ib 41 E. 2a; Urteil des Bundesgerichtes vom 2. Oktober 1991, publiziert in ZBl. 93/1992 S. 375). BGE 119 Ib 124 S. 129 c) Vom Entzug einer wesentlichen aus dem Eigentum fliessenden Befugnis im Sinne des Tatbestandes der materiellen Enteignung kann in Beachtung der verfassungsrechtlichen Ordnung des Bodenrechts (vorstehende Erw. 2a; vgl. GEORG MÜLLER in Kommentar BV, Art. 22ter, Rz. 51; THOMAS PFISTERER, Entschädigungspflichtige raumplanerische Massnahmen, BVR 1990 S. 29 ff.) zum vornherein nur dann gesprochen werden, wenn im Zeitpunkt der Rechtskraft der Planungsmassnahme, die einer Enteignung gleichkommen soll, eine raumplanerische Grundordnung galt, welche die Berechtigung zum Bauen auf dem fraglichen Grundstück einschloss. Dies trifft zu, wenn die Gemeinde über einen Nutzungsplan verfügt, der u.a. die Bauzonen in zweckmässiger Weise rechtsverbindlich von den Nichtbauzonen trennt. Bauzonen umfassen Land, das sich für die Überbauung eignet und weitgehend überbaut ist oder voraussichtlich innert 15 Jahren benötigt und erschlossen wird ( Art. 15 und 19 RPG ; Art. 5 des Wohnbau- und Eigentumsförderungsgesetzes vom 4. Oktober 1974 [WEG; SR 843]; BGE 118 Ib 42 E. 2c; Urteil des Bundesgerichtes vom 2. Oktober 1991, ZBl 93/1992 S. 375). Wird bei der erstmaligen Schaffung einer raumplanerischen Grundordnung, welche den verfassungsrechtlichen und gesetzlichen Anforderungen entspricht, eine Liegenschaft keiner Bauzone zugewiesen, so liegt - wie bereits erwähnt - gemäss der von der Rechtsprechung des Bundesgerichts zur Klarstellung der Rechtslage befolgten Terminologie in Anwendung der Raumplanungsgesetzgebung eine Nichteinzonung vor, und zwar auch dann, wenn die in Frage stehenden Flächen nach dem früheren, der Revision des Bodenrechts nicht entsprechenden Recht überbaut werden konnten ( BGE 118 Ib 42 E. 2b mit Hinweisen). d) Die Nichteinzonung in eine Bauzone löst grundsätzlich keine Entschädigungspflicht aus. Sie trifft nur ausnahmsweise den Eigentümer enteignungsähnlich, etwa dann, wenn er überbaubares oder groberschlossenes Land besitzt, das von einem gewässerschutzrechtskonformen generellen Kanalisationsprojekt (GKP) erfasst wird, und wenn er für die Erschliessung und Überbauung seines Landes schon erhebliche Kosten aufgewendet hat (so schon BGE 105 Ia 338 E. 3d),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BGE 119 Ib 124 S. 130 RPG ) befindet. Solche Umstände hätten möglicherweise eine Einzonung gebieten können, so dass der Eigentümer am massgebenden Stichtag mit hoher Wahrscheinlichkeit mit einer aus eigener Kraft realisierbaren Überbauung seines Landes rechnen durfte. Trifft dies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2c, 343 E. 4; Urteil des Bundesgerichtes vom 2. Oktober 1991, ZBl 93/1992 S. 375 f.).</w:t>
      </w:r>
    </w:p>
    <w:p>
      <w:r>
        <w:rPr>
          <w:b/>
        </w:rPr>
        <w:t>E. 3</w:t>
      </w:r>
    </w:p>
    <w:p>
      <w:r>
        <w:t>Das Verwaltungsgericht ist in Anwendung dieser Grundsätze von einer Nichteinzonung ausgegangen. Der Beschwerdeführer bestreitet diese Schlussfolgerung. a) Der Zonenplan von 1967 teilte das Gemeindegebiet in verschiedene Bauzonen, in eine Zone für öffentliche Bauten und Anlagen sowie in Grün-, Sperr- und Wasserzonen. Das nach dem damals geltenden Bundesgesetz betreffend die eidgenössische Oberaufsicht über die Forstpolizei vom 11. Oktober 1902 (AS 19 492 ff.; ersetzt seit 1. Januar 1993 durch das Bundesgesetz über den Wald vom 4. Oktober 1991 [Waldgesetz, WaG; SR 921.0] geschützte Waldareal war besonders bezeichnet. Eine Landwirtschaftszone fehlte. Daraus allein darf jedoch nicht geschlossen werden, der Zonenplan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BGE 117 Ib 7 E. 3a, aa). Hingegen verlangt das Raumplanungsgesetz, dass die Bauzone auf das mit der zweckmässigen Nutzung des Bodens und der geordneten Besiedlung des Landes zu vereinbarende Mass beschränkt wird ( Art. 22quater Abs. 1 BV , Art. 1 und 3 RPG ). Bauzonen dürfen höchstens Land umfassen, das sich für die Überbauung eignet und BGE 119 Ib 124 S. 131 weitgehend überbaut ist oder voraussichtlich innert fünfzehn Jahren benötigt und erschlossen wird ( Art. 15 RPG ; BGE 117 Ib 7 E. 3a, bb). Die Zonenordnung von 1967 widerspricht diesen Anforderungen. Wie das Verwaltungsgericht im angefochtenen Entscheid anhand der Bevölkerungsentwicklung in der Gemeinde Seengen während der letzten dreissig Jahre und anhand der vorhandenen Baulandreserven überzeugend darstellte, lässt der fragliche Zonenplan eine Bevölkerungszunahme um rund 2400 Personen zu, mithin das Vierfache des Bedarfes in fünfzehn Jahren. Die Bauzone widerspricht somit Art. 15 RPG . Das Verwaltungsgericht konnte an seinem Augenschein feststellen, dass nebst dem rund 23 ha umfassenden Gebiet "Rügel/Ghei" noch weitere 30 ha Land aus dem altrechtlichen Baugebiet zu entlassen sind, um dieses auf das bundesrechtskonforme Mass zu reduzieren. Dies bestätigte der Regierungsrat im kantonalen Verfahren. Aus den vom Bundesgericht eingeholten Angaben über den Stand der Zonenplanung in der Gemeinde Seengen ergibt sich, dass nun insgesamt "Auszonungen" im Umfange von 48,8 ha vorgesehen sind, während 5,9 ha neu einer Bauzone zugeteilt werden sollen. Das viel zu umfangreiche altrechtliche, vor der Bodenrechtsreform von 1969 bezeichnete Baugebiet soll nach dem geltenden Stand der Zonenplanung um 42,9 ha reduziert werden in diesen sind die 23 ha des Gebietes "Rügel/Ghei" eingeschlossen. b) Das eidgenössische Gewässerschutzgesetz von 1971, das am 1. Juli 1972 in Kraft trat, brachte für die Liegenschaft des Beschwerdeführers keine Rechtslage, die eine Überbauung ohne weiteres gestattet hätte. Das Grundstück lag zwar in der Landhauszone gemäss der Zonenordnung vom 15. Dezember 1967, so dass nach Art. 19 des Gewässerschutzgesetzes von 1971 die Erteilung von Baubewilligungen nicht ausgeschlossen war. Doch ging die Gewässerschutzgesetzgebung mit den von ihr angeordneten Pflichten für die Abwasserreinigung (dazu heute Art. 17 f. GSchG von 1991, im wesentlichen übereinstimmend mit den Pflichten insbesondere gemäss Art. 5 und 13 ff. des GSchG vom 8. Oktober 1971) von einer angemessenen Begrenzung des Baugebiets aus, wobei dieses grundsätzlich auf das für das überbaute und für das innert höchstens 15 Jahren zur Erschliessung vorgesehene Baugebiet anzulegen war ( Art. 11 und 15 der Allgemeinen Gewässerschutzverordnung vom 19. Juni 1972 [AGSchV; SR 814.201] ). Altrechtliche Bauzonen können nur dann als bundesrechtskonform gelten, wenn sie dem Gebot der angemessenen Begrenzung des Baugebiets entsprechen, so dass die Gemeinde in der Lage ist, die ihr obliegenden Erschliessungspflichten zu BGE 119 Ib 124 S. 132 erfüllen (Erw. 3 des Urteils des Bundesgerichtes vom 2. Oktober 1991, publiziert in ZBl 93/1992 S. 376). Die Gemeinden sind bereits auf Grund des eidgenössischen Wohnbau- und Eigentumsförderungsgesetzes vom 4. Oktober 1974 verpflichtet, die für den Wohnungsbau bestimmten Bauzonen entsprechend dem Bedarf in angemessenen Etappen innerhalb von 10 bis 15 Jahren zu erschliessen ( Art. 5 WEG ; BGE 116 Ia 332 E. cc; BGE 115 Ia 348 E. e; BGE 112 Ia 157 E. 2b). Im Falle der Gemeinde Seengen hätte wohl der auftragsgemäss von der Firma M. AG ausgearbeitete Überbauungsplan jedenfalls für das Gebiet "Rügel/Ghei" zu einer angemessenen Bauzonenbegrenzung führen können, sofern die Gemeinde eine gesamthafte Überprüfung ihrer Baugebietsausdehnung veranlasst hätte. Doch wurde dieser Überbauungsplan von der Gemeindeversammlung nicht festgesetzt, sondern mit dem Auftrag zurückgewiesen, Auszonungen im Gebiet "Rügel/Ghei" zu prüfen. Hieraus ergibt sich, dass auch in diesem Gebiet weder die bestehende altrechtliche Landhauszone noch das aus dem Jahre 1958 stammende GKP als dem Bundesrecht entsprechend anerkannt werden können ( BGE 116 Ib 383 E. 5; 112 Ib 400 E. 5c). In bezug auf das GKP legten die Vertreter des Gemeinderates sowie der Beschwerdeführer als ehemaliger Präsident der kommunalen Zonenplankommission anlässlich des verwaltungsgerichtlichen Augenscheines dar, die für den Zonenplan von 1967 erfolgte neue Berechnung des GKP hätte lediglich zu begrenzten Anpassungen geführt. c) Bei der Zonenordnung aus dem Jahre 1967 handelt es sich nach dem Gesagten nicht um einen dem Bundesrecht entsprechenden Nutzungsplan. Auch wenn davon ausgegangen wird, dass sie gemäss Art. 35 Abs. 3 RPG vorerst in Kraft blieb, so stand sie unter dem Vorbehalt der vom Bundesrecht verbindlich geforderten Überprüfung und Festsetzung eines den Anforderungen des Bundesrechts entsprechenden Nutzungsplanes. Die altrechtliche Zonenordnung wurde nicht vom Kanton gemäss Art. 26 und Art. 35 Abs. 3 RPG genehmigt. Nachdem die Gemeinde Seengen bis heute noch nicht über einen dem Bundesrecht entsprechenden Nutzungsplan verfügt, verlor die Zonenordnung von 1967 jedenfalls ab dem 1. Januar 1988 mit Bezug auf die Umschreibung des Baugebiets ihre Gültigkeit; an ihrer Stelle gilt das weitgehend überbaute Gebiet als vorläufige Bauzone ( Art. 36 Abs. 3 RPG ; BGE 118 Ib 43 E. 4 mit Hinweisen). Für das Gebiet "Rügel/Ghei" ist diese Feststellung allerdings nicht von ausschlaggebender Bedeutung, da die kantonale Schutzzone gemäss BGE 119 Ib 124 S. 133 dem Hallwilerseeschutzdekret vom 13. Mai 1986 die altrechtliche Landhauszone abgelöst hat. d) Aus diesen Erwägungen folgt, dass mit der Festsetzung der Schutzzone durch das Hallwilerseeschutzdekret erstmals in Übereinstimmung mit den Grundsätzen des Bundesrechts der Inhalt des Grundeigentums des Beschwerdeführers als Nichtbauland verbindlich festgelegt wurde. Es liegt deshalb nicht eine Auszonung aus einer dem Bundesrecht entsprechenden Bauzone, sondern eine Nichteinzonung von Land in eine mit den Grundsätzen des Bundesrechts übereinstimmende Bauzone vor ( BGE 118 Ia 154 ff. E. 3b; BGE 118 Ib 43 ff. E. 4). Dass die Begrenzung der Grundstücksnutzung auf die ordentliche Bewirtschaftung des Bodens durch eine kantonale Planung erfolgte, ändert hieran nichts. Auch in anderen Kantonen werden Freihalte- und Landwirtschaftszonen durch den Kanton festgesetzt (vgl. § 36 ff. und § 39 ff. des Gesetzes des Kantons Zürich über die Raumplanung und das öffentliche Baurecht vom 7. September 1975 [PBG]), wobei auf Grund der Planungspflicht ( Art. 2 RPG , §§ 118, 121 und 126 des Baugesetzes des Kantons Aargau vom 2. Februar 1971 [BauG]) der sachgerechten Begrenzung der Bauzonen sowohl durch kommunale als auch durch kantonale Nutzungszonen Rechnung zu tragen ist ( BGE 112 Ia 284 ff. E. 6 und 7). Auch wenn kantonale Schutzzonen zu einer Reduktion zu grosser altrechtlicher kommunaler Bauzonen führen, liegt eine Nichteinzonung in eine dem Raumplanungsrecht entsprechende Bauzone vor ( BGE 118 Ib 341 betreffend Freihaltezonenfestsetzung in einem Rebengebiet; BGE 114 Ib 104 E. 3b betreffend Schutzzone Lavaux/VD).</w:t>
      </w:r>
    </w:p>
    <w:p>
      <w:r>
        <w:rPr>
          <w:b/>
        </w:rPr>
        <w:t>E. 4</w:t>
      </w:r>
    </w:p>
    <w:p>
      <w:r>
        <w:t>Ob die Nichteinzonung den Beschwerdeführer ausnahmsweise enteignungsähnlich traf, ist anhand der hiefür massgebenden Kriterien (vorstehende Erw. 2d) zu beurteilen. a) aa) Die fragliche Parzelle lag nicht innerhalb eines gewässerschutzrechtskonformen GKP (vorstehende Erw. 3b). Auch hat der Beschwerdeführer für die Erschliessung seines Landes - wie er darlegt - keine erheblichen Kosten aufgewendet. Der Liegenschaftserwerb im Jahre 1972/1973, somit unter der Herrschaft der 1969 von Volk und Ständen angenommenen Bodenrechtsreform und nach Inkrafttreten des Gewässerschutzgesetzes vom 8. Oktober 1971 sowie des BMR, kann grundsätzlich nicht als Aufwendung für die Erschliessung und Überbauung des Landes gelten. Wer Land erwirbt in der Hoffnung, die aufgrund des neuen Rechts erforderlichen Voraussetzungen für eine künftige Überbauung würden erfüllt, kann nicht besser gestellt werden als jeder langjährige Eigentümer BGE 119 Ib 124 S. 134 landwirtschaftlich genutzten Landes, das keiner Bauzone zugewiesen wird. Auch dieser hat die der verfassungsrechtlichen Ordnung entsprechende Bezeichnung seines Grundeigentums als Nichtbauland hinzunehmen. bb) Sodann kann die Liegenschaft nicht entsprechend den Anforderungen des Bundesrechts als baureif betrachtet werden. Zwar meint der Beschwerdeführer, seine Parzelle sei hinsichtlich der Zufahrt, der Kanalisation und der Wasserversorgung erschlossen. Er geht davon aus, ein Einzelanschluss an diese Erschliessungsanlagen sei möglich, eine Auffassung, welche auch die Gemeinde im kantonalen Verfahren vertrat. Beide verkennen, dass der bereits seit dem 1. Mai 1972 geltende § 157 Abs. 1 BauG eine systematische Erschliessung von Bauland im Rahmen eines Überbauungs- oder Gestaltungsplanes verlangt, eine Vorschrift, die in Übereinstimmung mit den dargelegten Regeln des Bundesrechts sicherstellen will, dass eine Bauzone zweckmässig und zielgerichtet in Beachtung des Gebots der haushälterischen Bodennutzung ( Art. 1 RPG , Art. 5 WEG ) erschlossen wird (vgl. ERICH ZIMMERLIN, Kommentar zum Baugesetz des Kantons Aargau, 2. Aufl., Aarau 1985, N. 2 und 6a zu §§ 157/18). Beide Vorinstanzen hoben dieses Erfordernis zutreffend hervor. Auch der Regierungsrat weist in seinen Vernehmlassungen zu Recht darauf hin. Im hier fraglichen Gebiet fehlt es insbesondere an Kanalisationsanlagen, die den Anforderungen der Gewässerschutzgesetzgebung an die Erschliessung des gesamten Gebiets entsprechen und an welche die Parzelle des Beschwerdeführers angeschlossen werden könnte. Dieser kann aus der Tatsache, dass das auf der Nachbarparzelle Nr. 1709 bestehende Wohnhaus mit einer 1987 erstellten Sanierungsleitung an das Kanalisationsnetz angeschlossen wurde, nichts zu seinen Gunsten ableiten. Diese Sanierungsleitung bezweckt einzig, den für bestehende Wohnbauten ausserhalb der Bauzone gesetzlich vorgeschriebenen Anschluss an das Kanalisationsnetz sicherzustellen (vorstehende Erw. 3b). Für das umliegende Gebiet konnte sie schon deshalb keinen Kanalisationsanschluss ermöglichen, weil 1987 die Schutzzone bereits in Kraft stand. Im übrigen bezwecken weder kommunale Sammelleitungen ausserhalb der Bauzonen noch private Anschlussleitungen, welche der Erfüllung der Anschlusspflicht dienen, angrenzenden Liegenschaften einen Kanalisationsanschluss zu verschaffen ( BGE 118 Ib 47 E. 4d). Dies gilt auch für die Abwasserleitung der benachbarten Heimstätte Rügel, welche, wie der Gemeindeschreiber anlässlich des Augenscheines vor dem Verwaltungsgericht ausführte, einzig den Zweck hat, diese Baute, nicht BGE 119 Ib 124 S. 135 aber die Nachbarliegenschaften, mit dem Kanalisationsnetz zu verbinden. cc) Für eine geordnete Überbauung des Gebietes "Rügel/Gäldrüti" wären hinsichtlich der nötigen Strassenanlagen noch Erschliessungsplanungen und Parzellarordnungsmassnahmen nötig gewesen ( Art. 20 RPG ; Art. 7 ff. WEG ; §§ 172 ff. BauG; BGE 113 Ib 135 E. 4c; BGE 112 Ib 390 E. 3), wie dies der von der Firma des Beschwerdeführers ausgearbeitete Vorschlag zu einem Überbauungsplan deutlich erkennen lässt. Der Beschwerdeführer stellt dies nicht in Abrede. Er vertritt einzig die Meinung, ihm wäre es möglich gewesen, seine einzelne Parzelle mit Hilfe privatrechtlicher Abmachungen wie der Einräumung von Durchleitungsrechten zu überbauen. Diese Überlegung geht deshalb fehl, weil Einzelüberbauungen zu einer den Grundsätzen des eidgenössischen und kantonalen Bau- und Planungsrechts widersprechenden Streubauweise führen. Auch derjenige, der eine für sich allein möglicherweise überbaubare Parzelle besitzt, hat mit seinem Grundbesitz an einem sachgerecht begrenzten, auf die Nutzungsplanung abgestützten Erschliessungs- und Parzellarordnungsverfahren teilzunehmen, das eine bauordnungsgemässe Überbauung des gesamten Gebiets sicherstellt (Urteil des Bundesgerichtes vom 1. April 1981, publiziert in ZBl 84/1983 S. 183). Ein Grundeigentümer besitzt sodann keinen Anspruch auf Einräumung privatrechtlicher Weg- und Durchleitungsrechte in einem Gebiet, das öffentlichrechtlich nicht baureif ist ( BGE 117 II 35 ; BGE 110 II 125 ). Dementsprechend kommt es zufolge der gebotenen gebietsbezogenen Betrachtungsweise nicht entscheidend darauf an, dass die Liegenschaft des Beschwerdeführers aufgrund des 1973 abgeschlossenen Tauschvertrages eine für die Überbauung günstige Form aufweist und dass er sich für eine Zufahrt zu seinem Grundstück ein Fahr- und Wegrecht sicherte. Eine zweckmässige Verkehrserschliessung erfordert eine auf die geordnete Quartierüberbauung ausgerichtete Parzellarordnung und Erschliessung. Eine unter der Herrschaft des früheren Rechts erstellte Privatstrasse, wie sie zur Heimstätte Rügel und zum Wohnhaus auf der benachbarten Parzelle Nr. 1709 führt und an welche der Beschwerdeführer seiner Auffassung nach sein Grundstück hätte anschliessen können, genügt diesen Anforderungen nicht, ganz abgesehen davon, dass diese Privatstrasse nicht den Zweck hat, das umliegende Gebiet zu erschliessen (vgl. BGE 110 II 125 ; Urteil des Bundesgerichtes vom 2. Oktober 1991, E. 4b, publiziert in ZBl 93/1992 S. 378). Für die zeitgerechte Erschliessung trägt die Gemeinde die Erschliessungspflicht BGE 119 Ib 124 S. 136 ( Art. 5 WEG , Art. 19 Abs. 2 RPG , BGE 110 Ia 54 E. 4c). Auch wenn sie die Feinerschliessung gemäss den von ihr zu genehmigenden Plänen den Eigentümern überbinden kann, bleibt sie verantwortlich; nötigenfalls hat sie die Ersatzvornahme anzuordnen ( Art. 5 Abs. 2 WEG ). Bis zur Sicherstellung der zweckmässigen Erschliessung sind Baubewilligungen im Regelfall zu verweigern (vgl. BGE 109 Ib 23 f. E. 4c). b) Die fragliche Parzelle liegt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45 E. 4a, 344 E. 4a; 116 Ia 337 E. 4a). Wie den bei den Akten liegenden Plänen entnommen werden kann, befinden sich im "Gheiacher" im wesentlichen sechs und in der "Gäldrüti" zwei Wohnbauten, nämlich die Heimstätte Rügel und das Wohnhaus Schlossrain auf Parzelle Nr. 1709. Es handelt sich dabei selbst dann nicht um geschlossene Siedlungen, wenn beachtet wird, dass die altrechtliche Landhauszone eine lockere Überbauung vorschrieb. Bei einer gebietsbezogenen Betrachtungsweise kann weder von einem Siedlungskern noch von einem Siedlungszusammenhang gesprochen werden. Das ganze Gebiet befindet sich ausserhalb des Siedlungsrandes, weshalb die Liegenschaft des Beschwerdeführers nicht zum weitgehend überbauten Gebiet im Sinne des Raumplanungsgesetzes gehört ( BGE 117 Ia 437 f. E. 3e; BGE 116 Ia 201 E. 2b). c) Der Beschwerdeführer beruft sich auf weitere besondere Umstände, die es nach seiner Auffassung aus Gründen des Vertrauensschutzes geboten hätten, seine Liegenschaft einer Bauzone zuzuweisen. aa) Das am 1. Januar 1980 in Kraft getretene Raumplanungsgesetz trug Kanton und Gemeinden auf, ihre bestehende Nutzungsplanung zu überprüfen und den Anforderungen des Bundesrechts entsprechende Ortsplanungen zu erlassen ( Art. 35 Abs. 1 lit. b RPG ). Für die Planung und Ausführung der Kanalisationsanlagen ergab sich diese Verpflichtung bereits aus der am 1. Juli 1972 in Kraft getretenen Gewässerschutzgesetzgebung und für die Planung und Ausführung der für die Erschliessung der Wohnbauzonen bestimmten Strassen aus dem Wohnbau- und Eigentumsförderungsgesetz vom 4. Oktober 1974. Bei der Ausarbeitung und Festsetzung der dem Bundesrecht entsprechenden Nutzungspläne kann grundsätzlich kein Eigentümer einer in einer altrechtlichen, den Anforderungen des BGE 119 Ib 124 S. 137 Bundesrechts nicht entsprechenden Zone liegenden Parzelle verlangen, dass seine Liegenschaft dem Baugebiet zugewiesen wird ( BGE 116 Ib 187 f. E. 3c und 4b). Daran ändert nichts, dass es die Gemeinde zunächst ablehnte, im Gebiet "Rügel/Ghei" eine den Anforderungen des Bundesrechts entsprechende Bauzonenbegrenzung anzuordnen, weil die Nutzungsplanung in Beachtung der dem Kanton zustehenden Kompetenzen zu erfüllen ist ( Art. 26 RPG , § 147 BauG). Die Gemeinde kann den Kanton auch nicht daran hindern, übergeordnete Planungsmassnahmen zu erlassen ( Art. 2 Abs. 1 und 3 RPG , §§ 117, 118 und 120 BauG). Die Gemeinde ist mit der Ablehnung von "Auszonungen" ihrer Verpflichtung, die Ortsplanung den Anforderungen des Bundesrechts entsprechend zu überarbeiten, nicht nachgekommen. Die von ihr im Jahre 1972 in Auftrag gegebene Ausarbeitung eines Überbauungsplanes "Rügel/Ghei" bestätigt dies. Diese Planung hätte in eine gesamthafte Überprüfung der Baugebietsausdehnung einbezogen werden müssen (vorstehende Erw. 3b). Der Verzicht auf die Festsetzung einer Schutzzone durch die Gemeinde begründet kein schutzwürdiges Vertrauen in den weiteren Bestand der altrechtlichen Bauzone; diese hätte in jedem Fall gestützt auf die Raumplanungsgesetzgebung entweder genehmigt oder mit Zustimmung des Kantons neu festgesetzt werden müssen ( Art. 35 Abs. 3 und Art. 26 RPG ). Auch allfällige Äusserungen des Gemeinderates oder des Baudepartementes, wonach sich am Baulandcharakter eines Grundstückes nichts ändern werde, können nach der Rechtsprechung die für die Nutzungsplanung zuständigen Organe der Gemeinde und des Kantons in der Regel nicht binden, womit eine wesentliche Voraussetzung für die Annahme des Vertrauensschutzes fehlt ( BGE 117 Ia 287 E. 2b; BGE 116 Ib 187 E. 3c). Dass die ersten öffentlich aufgelegten Entwürfe des Hallwilerseeschutzdekretes den Einbezug des hier fraglichen Gebietes in die Schutzzone noch nicht vorsahen, ändert hieran nichts. Die öffentliche Auflage von Nutzungsplänen ( Art. 33 Abs. 1 RPG ) dient der Mitwirkung der Bevölkerung bei Planungen ( Art. 4 Abs. 1 und 2 RPG ) und dem Rechtsschutz Betroffener. Es ist nicht ausgeschlossen, dass deren Einwendungen oder sonstige neue Erkenntnisse, die im Zusammenhang mit der Planauflage gewonnen werden, zu einer Überarbeitung von Planentwürfen führen (nicht veröffentlichtes Urteil des Bundesgerichtes vom 11. November 1992 i.S. B. gegen Gemeinde Maur, E. 2c; vgl. BGE 115 Ia 89 ; BGE 111 Ia 168 f. E. 2c und d). Für das Gebiet "Rügel/Ghei" ist es verständlich, dass die ersten kantonalen Schutzzonenpläne weniger weit gingen, BGE 119 Ib 124 S. 138 wurde doch mit der Möglichkeit kommunaler Anordnungen gerechnet, wie sich aus der im Jahre 1978 erfolgten Rückweisung des Überbauungsplanes "Rügel/Ghei" durch die Gemeindeversammlung ergibt. bb) Fiskalische Aspekte spielen für die planungsrechtliche Behandlung einer Parzelle keine ausschlaggebende Rolle. Die Tatsache, dass ein Grundstück bei der Steuerveranlagung für eine bestimmte Periode als Bauerwartungsland erfasst wird, bindet die Planungsbehörden bei der Erfüllung der Planungspflicht nicht ( BGE 112 Ib 492 E. 9 mit Hinweisen). Ob aus der für jedermann verbindlichen Nutzungsplanung steuerrechtliche Rückforderungsansprüche hergeleitet werden können, ist im vorliegenden Verfahren nicht zu entscheiden. cc) Weiter weist der Beschwerdeführer auf Aussagen kantonaler Parlamentarier und Mitglieder des Regierungsrates anlässlich der Behandlung des Hallwilerseeschutzdekretes im Grossen Rat hin, wonach durch das Dekret bewirkte "Auszonungen" zufolge der Festsetzung der Schutzzone entschädigt werden müssten. Es trifft in der Tat zu, dass im Grossen Rat entschädigungsfreundliche Auffassungen vertreten wurden. Doch sind diese im Zusammenhang mit der politischen Meinungsbildung zu verstehen. Es war den Mitgliedern des Grossen Rates klar, dass nicht die politischen Behörden, sondern die kantonalen Gerichte und letztlich das Bundesgericht verbindlich über Fragen der materiellen Enteignung entscheiden, wie sich dies aus den vom Beschwerdeführer angeführten Protokollauszügen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