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237 vom 1. Januar 1993</w:t>
      </w:r>
    </w:p>
    <w:p>
      <w:r>
        <w:t>Bundesgericht (BGE), 1993-01-01, DE</w:t>
      </w:r>
    </w:p>
    <w:p>
      <w:r>
        <w:rPr>
          <w:b/>
        </w:rPr>
        <w:t xml:space="preserve">Quelle: </w:t>
      </w:r>
      <w:r>
        <w:t>https://mcp.opencaselaw.ch/entscheid/bge_BGE_119_Ia_237</w:t>
      </w:r>
    </w:p>
    <w:p>
      <w:r>
        <w:t>FR: BGE BGE 119 Ia 237 du 1 janvier 1993</w:t>
      </w:r>
    </w:p>
    <w:p>
      <w:r>
        <w:t>IT: BGE BGE 119 Ia 237 del 1 gennaio 1993</w:t>
      </w:r>
    </w:p>
    <w:p>
      <w:pPr>
        <w:pStyle w:val="Heading2"/>
      </w:pPr>
      <w:r>
        <w:t>Regeste</w:t>
      </w:r>
    </w:p>
    <w:p>
      <w:r>
        <w:t>Regeste Rechtsverzögerungsbeschwerde; Letztinstanzlichkeit (Art. 87 OG). Auch dieser Rechtsbehelf wegen Verletzung von Art. 4 BV ist erst nach Ausschöpfung des kantonalen Instanzenzuges zulässig (E. 2b). Gibt die kantonale Aufsichtsbeschwerde ans Obergericht Anspruch auf Einschreiten, wenn sich eine bei ihm angehobene Rechtsverzögerungsbeschwerde als begründet erweisen sollte, so hat sich der Betroffene vor der Anrufung des Bundesgerichts an die kantonale Aufsichtsinstanz zu wenden (E. 3).</w:t>
      </w:r>
    </w:p>
    <w:p>
      <w:r>
        <w:t>Regeste Recours pour retard injustifié; décision prise en dernière instance (art. 87 OJ). Dans ce cas-là également, le recours pour violation de l'art. 4 Cst. est soumis à la règle générale de l'épuisement des instances cantonales (consid. 2b). Si la voie cantonale de la plainte accorde un pouvoir d'intervention au tribunal supérieur au cas où un recours pour retard injustifié se révélerait bien fondé, le justiciable doit s'adresser à l'autorité cantonale de surveillance avant de recourir au Tribunal fédéral (consid. 3).</w:t>
      </w:r>
    </w:p>
    <w:p>
      <w:r>
        <w:t>Regesto Ricorso per ritardata giustizia; decisione di ultima istanza (art. 87 OG). Anche il ricorso per ritardata giustizia è sottoposto all'esigenza dell'esaurimento del corso delle istanze cantonali (consid. 2b). Se il reclamo previsto dal diritto cantonale conferisce un potere d'intervento al Tribunale superiore nel caso in cui il ricorso per mora ingiustificata si rivelasse fondato, l'interessato, prima di rivolgersi al Tribunale federale, è tenuto ad adire l'autorità cantonale di vigilanza (consid. 3).</w:t>
      </w:r>
    </w:p>
    <w:p>
      <w:pPr>
        <w:pStyle w:val="Heading2"/>
      </w:pPr>
      <w:r>
        <w:t>Erwägungen</w:t>
      </w:r>
    </w:p>
    <w:p>
      <w:r>
        <w:rPr>
          <w:b/>
        </w:rPr>
        <w:t>E. 2</w:t>
      </w:r>
    </w:p>
    <w:p>
      <w:r>
        <w:t>a) Die Rechtsverzögerung ist eine besondere Form der formellen Rechtsverweigerung, die sowohl gegen Art. 4 BV wie auch gegen den in dieser Hinsicht nicht weitergehenden Art. 6 Ziff. 1 EMRK verstösst und beim Bundesgericht, wenn nicht die Verwaltungsgerichtsbeschwerde gegeben ist ( BGE 103 V 193 ff.), mit staatsrechtlicher Beschwerde gerügt werden kann ( Art. 84 Abs. 1 lit. a OG ; HAEFLIGER, Alle Schweizer sind vor dem Gesetze gleich, S. 120). b) Die staatsrechtliche Beschwerde wegen Verletzung von Art. 4 BV ist jedoch, von hier nicht gegebenen Ausnahmen abgesehen, erst gegen letztinstanzliche Entscheide zulässig ( Art. 87 OG ). Das bedeutet auch für die Rechtsverzögerungsbeschwerde, die nicht notwendig eine ausdrückliche zur Verzögerung führende Anordnung voraussetzt, sondern sowohl gegen das ausdrückliche wie auch gegen das bloss faktische Vorenthalten eines zeitgerechten Urteils gerichtet sein kann (KÄLIN, Das Verfahren der staatsrechtlichen Beschwerde, S. 165 f.; L. MEYER, Das Rechtsverzögerungsverbot nach Art. 4 BV , Diss. Bern 1982, S. 2 ff.), dass vor der Anrufung des Bundesgerichts der kantonale Instanzenzug ausgeschöpft sein muss. Das seit 1943 im OG verankerte Erfordernis der Letztinstanzlichkeit ist ursprünglich durch die Praxis eingeführt worden aus der Überlegung, für die Anrufung des Bundesgerichts bestehe so lange kein Anlass, als staatlichen Eingriffen in verfassungsmässige Rechte BGE 119 Ia 237 S. 239 bereits auf kantonaler Ebene begegnet werden könne. Letztinstanzlich in diesem Sinne ist ein Entscheid erst, wenn die Rüge, die Inhalt der staatsrechtlichen Beschwerde sein soll, bei keiner kantonalen Instanz mehr angebracht werden kann (MARTI, Die staatsrechtliche Beschwerde, S. 105). Das heisst, es darf im Kanton kein Rechtsbehelf irgendwelcher Art mehr zur Verfügung stehen ( BGE 90 I 230 ; MARTI, a.a.O., S. 107). Die Möglichkeit der Anfechtung im Kanton schliesst freilich die staatsrechtliche Beschwerde nur aus, wenn auf die Entscheidung über den Gegenstand der Verfassungsrüge ein Rechtsanspruch besteht (MARTI, a.a.O., S. 106; MEYER, a.a.O., S. 122). Bei einer Petition oder einer Aufsichtsbeschwerde in ihrer Form als Disziplinarbeschwerde, wie sie etwa für die Aufsicht der Parlamente über die Gerichte vorgesehen ist, trifft das nicht zu ( BGE 90 I 230 ; MEYER, a.a.O., S. 107).</w:t>
      </w:r>
    </w:p>
    <w:p>
      <w:r>
        <w:rPr>
          <w:b/>
        </w:rPr>
        <w:t>E. 3</w:t>
      </w:r>
    </w:p>
    <w:p>
      <w:r>
        <w:t>Das Kantonsgericht Obwalden ist in der vorliegenden Streitsache die erste von zwei kantonalen Instanzen (Art. 37 lit. b in Verbindung mit Art. 37 lit. a Ziff. 1 des kantonalen Gesetzes über die Gerichtsorganisation (OG). Es untersteht der Aufsicht des Obergerichts ( Art. 23 Abs. 1 OG ). Dieses kann, von Amtes wegen oder auf Beschwerde hin "gegen gesetzwidrige oder willkürliche Handlungen oder Unterlassungen" einschreiten und "die notwendigen Vorkehren" anordnen ( Art. 23 Abs. 2 OG ). Eine Beschwerde von Rechtsuchenden gegen Rechtsverweigerung oder Rechtsverzögerung durch das Kantonsgericht ist mithin im Gesetz ausdrücklich vorgesehen. Ob ihre Unterlassung die staatsrechtliche Beschwerde ausschliesst, entscheidet sich entgegen der Auffassung des Beschwerdeführers nicht daran, ob diese Form der Aufsichtsbeschwerde ein Rechtsmittel oder einen Rechtsbehelf anderer Art darstellt, sondern einzig daran, ob sie Anspruch auf einen Entscheid gibt, der inhaltlich demjenigen des Bundesgerichts über die Verfassungsrüge entspricht. Das ist hier gleich wie für die Mehrzahl der andern Kantone, die ähnliche Regelungen kennen, zu bejahen. Die richterliche Aufsichtsinstanz ist verpflichtet, gegen die ihr bekanntgewordene Rechtsverzögerung einzuschreiten und die erforderlichen Massnahmen zu ergreifen, gleichgültig, ob seitens der unteren Instanz ein disziplinarisch zu ahndendes Verschulden oder unverschuldetes Unvermögen vorliegt ( BGE 107 Ib 165 E. 3c, BGE 103 V 195 E. 3; MEYER, a.a.O., S. 101 ff.; BEERLI, Die ausserordentlichen Rechtsmittel in der Verwaltungsrechtspflege des Bundes und der Kantone, Diss. Zürich 1985, S. 215). Die Rechtsverzögerungsbeschwerde stellt denn auch eine Mischform von Rechtsmittel und BGE 119 Ia 237 S. 240 Aufsichtsbeschwerde im engern Sinn dar (GULDENER, Schweizerisches Zivilprozessrecht, S. 538 ff.; HABSCHEID, Schweizerisches Zivilprozess- und Gerichtsorganisationsrecht, 2. Aufl., Rz. 777; MEYER, a.a.O., S. 101 f.). Besteht somit gegenüber dem Obergericht Anspruch auf Einschreiten, wenn sich eine bei ihm angehobene Rechtsverzögerungsbeschwerde als begründet erweisen sollte, so ist die direkte Anrufung des Bundesgerichts anstelle des Obergerichts nicht gegeben. Sie ist es umso weniger, als das Obergericht kraft seines Aufsichtsrechts zugleich in der Lage ist, konkrete Anordnungen zu treffen, Pflichtwidrigkeiten zu ahnden, dem Kantonsgericht Fristen zu setzen und den weiteren Gang des Verfahrens zu überwachen ( Art. 23 Abs. 3 OG /OW; BGE 117 Ia 458 E. 4; MEYER, a.a.O., S. 105). Zu den erforderlichen Vorkehren sind die Aufsicht führenden kantonalen Gerichte verpflichtet; andernfalls würde die Aufsicht über sämtliche unteren Instanzen partiell auf das Bundesgericht übertragen, was nicht angängig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