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326</w:t>
      </w:r>
    </w:p>
    <w:p>
      <w:r>
        <w:t>Bundesgericht (BGE), 1993-01-01, DE</w:t>
      </w:r>
    </w:p>
    <w:p>
      <w:r>
        <w:rPr>
          <w:b/>
        </w:rPr>
        <w:t xml:space="preserve">Quelle: </w:t>
      </w:r>
      <w:r>
        <w:t>https://mcp.opencaselaw.ch/entscheid/bge_BGE_119_IV_326</w:t>
      </w:r>
    </w:p>
    <w:p>
      <w:r>
        <w:t>FR: ATF 119 IV 326</w:t>
      </w:r>
    </w:p>
    <w:p>
      <w:r>
        <w:t>IT: DTF 119 IV 326</w:t>
      </w:r>
    </w:p>
    <w:p>
      <w:pPr>
        <w:pStyle w:val="Heading2"/>
      </w:pPr>
      <w:r>
        <w:t>Regeste</w:t>
      </w:r>
    </w:p>
    <w:p>
      <w:r>
        <w:t>Regeste Art. 26, Art. 45 ff. VStrR. Beschlagnahme von Modems. 1. Werden beschlagnahmte Papiere auf Einsprache hin versiegelt, liegt keine mit Beschwerde anfechtbare Zwangsmassnahme vor (E. 7b). 2. Die Anklagekammer hat nur zu prüfen, ob die Beschlagnahme als solche zulässig ist (E. 7c und d). 3. Verhältnismässigkeit der Beschlagnahme (E. 7e). 4. Umschreibung der mit Beschlag zu belegenden Gegenstände im Durchsuchungsbefehl (E. 7g).</w:t>
      </w:r>
    </w:p>
    <w:p>
      <w:r>
        <w:t>Regeste Art. 26, art. 45 ss DPA. Séquestre de modems. 1. Lorsque des papiers séquestrés sont placés sous scellés à la suite d'une opposition, cet acte ne constitue pas une mesure de contrainte pouvant donner matière à une plainte (consid. 7b). 2. La compétence de la Chambre d'accusation se limite à l'examen de l'admissibilité du séquestre en tant que tel (consid. 7c et d). 3. Proportionnalité du séquestre (consid. 7e). 4. Description, dans le mandat de perquisition, des objets à séquestrer (consid. 7g).</w:t>
      </w:r>
    </w:p>
    <w:p>
      <w:r>
        <w:t>Regesto Art. 26, art. 45 segg. DPA. Sequestro di modem. 1. Ove, in seguito ad opposizione, vengano suggellate carte sequestrate, tale atto non costituisce un provvedimento coattivo impugnabile con reclamo (consid. 7b). 2. Compete alla Camera di accusa soltanto di esaminare se il sequestro sia consentito come tale (consid. 7c e d). 3. Proporzionalità del sequestro (consid. 7e). 4. Descrizione, nell'ordine di perquisizione, degli oggetti da sequestrare (consid. 7g).</w:t>
      </w:r>
    </w:p>
    <w:p>
      <w:pPr>
        <w:pStyle w:val="Heading2"/>
      </w:pPr>
      <w:r>
        <w:t>Erwägungen</w:t>
      </w:r>
    </w:p>
    <w:p>
      <w:r>
        <w:rPr>
          <w:b/>
        </w:rPr>
        <w:t>E. 7</w:t>
      </w:r>
    </w:p>
    <w:p>
      <w:r>
        <w:t>a) Gegen Zwangsmassnahmen ( Art. 45 ff. VStrR ) und damit zusammenhängende Amtshandlungen kann bei der Anklagekammer des Bundesgerichts Beschwerde geführt werden ( Art. 26 Abs. 1 VStrR ). b) Soweit sich die Beschwerde gegen die Beschlagnahme von Dokumenten richtet, ist darauf nicht einzutreten, denn die Papiere wurden auf Einsprache hin versiegelt; damit liegt diesbezüglich keine mit Beschwerde anfechtbare Zwangsmassnahme vor (vgl. BGE 109 IV 153 E. 1). c) Die Anklagekammer hat nur zu entscheiden, ob die Beschlagnahme zulässig ist. Ob sich der Beschwerdeführer einer strafbaren BGE 119 IV 326 S. 328 Handlung schuldig gemacht hat, kann hier nicht geprüft werden (vgl. BGE 104 IV 125 E. 4). Ob die in Frage stehenden Modems nicht zugelassen sind und ob der Beschwerdeführer mit dem Erstellen, Betreiben, Anpreisen oder Inverkehrbringen der allenfalls nicht zugelassenen Modems tatsächlich eine Widerhandlung im Sinne von Art. 57 FMG begangen hat, wird das Bundesamt im gegen ihn eingeleiteten Verwaltungsstrafverfahren zu prüfen und zu beweisen haben. In diesem Verfahren wird insbesondere auch zu prüfen sein, inwieweit der Beschwerdeführer die durch den Beschwerdegegner als Zulassungsbehörde verlangten Änderungen an den Geräten vorgenommen habe und er sich nach Treu und Glauben auf den angeblichen Befund des Mitarbeiters des Beschwerdegegners, wonach die meisten der beschlagnahmten Geräte nach wie vor zugelassen seien, verlassen durfte; dasselbe gilt für die Vermutung des Beschwerdeführers, der Beschwerdegegner habe das Modem X. stillschweigend als zugelassen erachtet. Das Bundesamt wird ebenso abzuklären haben, ob der Beschwerdeführer schuldhaft handelte. Auf die entsprechenden Vorbringen in der Beschwerde, die sich zur Hauptsache gegen die nach dem Gesagten nicht zu prüfende materielle Begründetheit des gegen den Beschwerdeführer eingeleiteten Verwaltungsstrafverfahrens richtet, ist im vorliegenden Verfahren daher nicht einzutreten. d) Der Beschwerdegegner als Fachinstanz legt in seiner Vernehmlassung dar, dass abgesehen von den drei GVC-Modems alle beschlagnahmten Geräte nicht zugelassen sind. Damit ist die Voraussetzung des hinreichenden Anfangsverdachts einer Widerhandlung im Sinne von Art. 57 FMG aber ohne weiteres erfüllt, weshalb zu Recht ein Verwaltungsstrafverfahren eröffnet wurde. Dass die Untersuchungsbeamten nicht aus eigenem Antrieb tätig geworden sind, sondern erst auf Anzeige eines Konkurrenten hin, spielt dabei keine Rolle, denn die Beamten haben die Untersuchung von Amtes wegen durchzuführen, wenn sich - allenfalls aufgrund einer Anzeige von Dritten - ein begründeter Verdacht einer Widerhandlung ergibt. Die beschlagnahmten Geräte sind offensichtlich geeignet, der Verwaltung den Beweis der allenfalls begangenen Widerhandlung im Sinne von Art. 57 FMG zu ermöglichen. e) Weniger einschneidende Massnahmen sind in der Regel nicht geeignet, den durch das Fernmeldegesetz angestrebten wirksamen Schutz der gutfunktionierenden Fernmeldeordnung des Landes (vgl. BBl 1988 I 1328, 1333; vgl. bereits zum früheren TVG: BGE 103 IV 115 E. 3c) zu sichern. Hinzu kommt, dass die Beschlagnahme BGE 119 IV 326 S. 329 lediglich eine provisorische prozessuale Massnahme zur vorläufigen Beweissicherung darstellt, die nicht ausführlich begründet werden muss und die aufgehoben wird, wenn sich der bestehende Verdacht im Laufe der Untersuchung als unbegründet erweist und die Geräte nicht eingezogen werden müssen. Ein anderes, ebenso geeignetes und zuverlässiges Beweismittel, das sich die Verwaltung ohne Beschlagnahme hätte beschaffen können, ist nicht ersichtlich. Insbesondere vermag die Beschlagnahme nur einzelner Geräte der verschiedenen Typen entgegen der Auffassung des Beschwerdeführers keine ausreichende Gewähr dafür zu bieten, dass die fraglichen Geräte nicht noch vor Abschluss des Strafverfahrens verwertet werden. Die Beschlagnahme ist daher auch unter dem Gesichtspunkt der Verhältnismässigkeit nicht zu beanstanden. Dies gilt auch in bezug auf die Beschlagnahme anlässlich der Fernmeldefachmesse "WinWorld"; denn an solchen Messen dürfen nicht zugelassene Geräte ohne Bewilligung nur ausgestellt werden. Da der Beschwerdeführer eines der nicht zugelassenen Geräte indessen ohne die dafür erforderliche Bewilligung an das öffentliche Netz angeschlossen und betrieben hat - was er nicht bestreitet -, waren auch dieses sowie das mit einer falschen Zulassungsnummer versehene ausgestellte Gerät als Beweismittel zu beschlagnahmen. f) Da Gegenstände, die als Beweismittel geeignet sein könnten, beim jeweiligen Inhaber beschlagnahmt werden können (vgl. Art. 47 Abs. 1 VStrR ), spielt es keine Rolle, dass der Beschwerdeführer in bezug auf die in den Rechtsbegehren Ziff. I. und II. erwähnten Geräte nicht auch "Zulassungsverfügungsbegünstigter" ist. Dasselbe gilt für das ebenfalls beschlagnahmte Funktelefon eines Mitarbeiters. g) Wie der Beschwerdegegner zu Recht ausführt, steht der Wortlaut des Durchsuchungsbefehls einer Beschlagnahme von nicht ausdrücklich erwähnten Geräten nicht entgegen, denn es wird ausdrücklich verfügt, dass insbesondere diese Geräte zu ermitteln und sicherzustellen seien. Die Formulierung erfasst damit sinngemäss ohne weiteres auch weitere ähnliche, möglicherweise nicht zugelassene Geräte, die bei der Durchsuchung vorgefunden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