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284</w:t>
      </w:r>
    </w:p>
    <w:p>
      <w:r>
        <w:t>Bundesgericht (BGE), 1993-01-01, DE</w:t>
      </w:r>
    </w:p>
    <w:p>
      <w:r>
        <w:rPr>
          <w:b/>
        </w:rPr>
        <w:t xml:space="preserve">Quelle: </w:t>
      </w:r>
      <w:r>
        <w:t>https://mcp.opencaselaw.ch/entscheid/bge_BGE_119_IV_284</w:t>
      </w:r>
    </w:p>
    <w:p>
      <w:r>
        <w:t>FR: ATF 119 IV 284</w:t>
      </w:r>
    </w:p>
    <w:p>
      <w:r>
        <w:t>IT: DTF 119 IV 284</w:t>
      </w:r>
    </w:p>
    <w:p>
      <w:pPr>
        <w:pStyle w:val="Heading2"/>
      </w:pPr>
      <w:r>
        <w:t>Regeste</w:t>
      </w:r>
    </w:p>
    <w:p>
      <w:r>
        <w:t>Regeste Art. 148 Abs. 1 StGB; Art. 277 BStP; Anforderungen an die Begründung der Arglist bei Serienbetrügen. Das Tatbestandsmerkmal der Arglist muss auch bei Serienbetrügen für jeden Einzelfall überprüfbar sein. Bei Fällen, die in tatsächlicher Hinsicht gleichgelagert sind und sich bezüglich Opfergesichtspunkten nicht wesentlich unterscheiden, genügt es, wenn der Richter die Arglist zunächst in allgemeiner Weise prüft und sich bei der Beurteilung der einzelnen Taten mit dem Merkmal nur in den Fällen besonders auseinandersetzt, die deutlich vom üblichen Handlungsmuster abweichen. Für die übrigen Fälle kann er auf die allgemeinen Erwägungen verweisen (E. 5a).</w:t>
      </w:r>
    </w:p>
    <w:p>
      <w:r>
        <w:t>Regeste Art. 148 al. 1 CP; art. 277 PPF; exigence de motivation en ce qui concerne l'astuce en cas d'escroqueries commises en série. La réalisation de l'élément constitutif de l'astuce doit pouvoir être contrôlée pour chaque cas, même lorsqu'il s'agit d'escroqueries commises en série. En ce qui concerne les infractions qui se présentent de manière analogue du point de vue des circonstances et qui ne diffèrent guère du point de vue de la victime, il suffit que le juge examine d'abord la question de l'astuce d'une manière générale, puis qu'il ne revienne sur cette question, ensuite, lors de l'examen cas par cas, que pour ceux qui se distinguent clairement des autres en ce qui concerne la manière de procéder de l'auteur. Pour les autres cas, il suffit de se référer aux considérations générales (consid. 5a).</w:t>
      </w:r>
    </w:p>
    <w:p>
      <w:r>
        <w:t>Regesto Art. 148 cpv. 1 CP; art. 277 PP; requisiti della motivazione per quanto concerne l'astuzia in caso di truffe commesse in serie. La presenza dell'elemento costitutivo dell'astuzia deve poter essere controllata in ogni singolo caso, anche laddove si tratti di truffe commesse in serie. Per le infrazioni in cui le circostanze di fatto siano analoghe e che non differiscano considerevolmente dal punto di vista della vittima, basta che il giudice esamini dapprima la questione dell'astuzia in modo generale e che ritorni poi su di essa, quando decida sui singoli casi, solo in quelli che si distinguano chiaramente dagli altri per quanto riguarda la maniera di procedere dell'agente. Per gli altri casi è sufficiente riferirsi alle considerazioni generali (consid. 5a).</w:t>
      </w:r>
    </w:p>
    <w:p>
      <w:pPr>
        <w:pStyle w:val="Heading2"/>
      </w:pPr>
      <w:r>
        <w:t>Erwägungen</w:t>
      </w:r>
    </w:p>
    <w:p>
      <w:r>
        <w:rPr>
          <w:b/>
        </w:rPr>
        <w:t>E. 5</w:t>
      </w:r>
    </w:p>
    <w:p>
      <w:r>
        <w:t>Dem Beschwerdeführer wird eine Serie von Darlehens- und Bestellungsbetrügen in 37 Einzelfällen zur Last gelegt. Bei den Darlehensbetrügen ging er nach den Feststellungen der Vorinstanz in sämtlichen Fällen grundsätzlich nach demselben Handlungsmuster vor, das er den jeweiligen konkreten Umständen anpasste. a) Die Vorinstanz prüfte das Tatbestandsmerkmal der Arglist und anschliessend die vom Beschwerdeführer für praktisch alle angefochtenen Einzelfälle vorgebrachten Einwände zunächst in allgemeiner Form. Besondere Ausführungen zu den einzelnen Anklagepunkten machte sie nur in wenigen Ausnahmefällen. Diese Vorgehensweise ist entgegen der Auffassung des Beschwerdeführers nicht zu beanstanden. Bei Serienbetrügereien spricht nichts dagegen, das Tatbestandsmerkmal der Arglist zunächst in allgemeiner Weise für alle Einzelhandlungen gemeinsam und nicht nur für jeden einzelnen Fall gesondert zu prüfen. Dies gilt jedenfalls dann, wenn die Fälle in tatsächlicher Hinsicht gleichgelagert sind und sich bezüglich Opfergesichtspunkten nicht wesentlich unterscheiden. Der Richter darf sich allerdings nicht auf die Beurteilung des Handlungsmusters beschränken, sondern muss anschliessend auch die Einzelfälle prüfen. Bejaht er aufgrund allgemeiner Erwägungen das Element der Arglist, ist bundesrechtlich aber nicht zu beanstanden, wenn bei der Prüfung der Einzelhandlungen eine ausführliche, fallbezogene Auseinandersetzung mit dem Tatbestandsmerkmal nur in denjenigen Fällen erfolgt, die sich in deutlicher Weise vom üblichen Handlungsmuster unterscheiden. Für die übrigen Fälle kann der Richter auf die allgemeinen Erwägungen verweisen. Voraussetzung für diese Vorgehensweise ist, dass die rechtliche Würdigung für alle Einzelfälle überprüfbar ist. Dies bedingt, dass der Anklagesachverhalt genügend klar dargestellt wird und die für die Qualifizierung wesentlichen Elemente der einzelnen Betrugshandlungen in einer Weise geschildert werden, dass überprüft werden kann, ob sie dem allgemeinen Handlungsmuster entsprechen oder ob sie davon und gegebenenfalls in welcher Weise abweichen. Im Zusammenhang mit der Überprüfbarkeit von falschen Angaben verlangt dies etwa die Darstellung der persönlichen Beziehungen zwischen Täter und Opfer sowie die Erörterung der Schutzbedürftigkeit der Getäuschten. Erlaubt die Schilderung der einzelnen Taten im Anklagesachverhalt die Überprüfung der rechtlichen Würdigung nicht, muss der Richter auch in den Fällen, die keine Besonderheiten BGE 119 IV 284 S. 287 aufweisen, speziell begründen, in welchen konkreten Umständen er die Arglist verwirklicht sieht oder weshalb er sie allenfalls verneint. Eine blosse Verweisung auf allgemeine Erwägungen genügt in solchen Fällen nicht. b) Ob die letzte kantonale Instanz Bundesrecht richtig angewendet hat, kann der Kassationshof anhand des Urteilsdispositivs allein nicht beurteilen. Um die vorgenommene Subsumtion überprüfen zu können, muss er wissen, auf welche rechtliche Erwägungen der kantonale Richter seinen Entscheid stützte. Art. 277 BStP hält die kantonalen Instanzen insoweit mittelbar zur Begründung ihrer Entscheide an, in Ergänzung zu der sich aus Art. 4 BV ergebenden (unmittelbaren) Begründungspflicht (SCHWERI, Eidgenössische Nichtigkeitsbeschwerde in Strafsachen, Bern 1993, S. 190 N. 597). Gemäss Art. 277 BStP hebt der Kassationshof die Entscheidung auf und weist die Sache an die kantonale Behörde zurück, wenn sie an derartigen Mängeln leidet, dass die Gesetzesanwendung nicht nachgeprüft werden kann. Die Begründung ist insbesondere dann mangelhaft, wenn der angefochtene Entscheid jene tatsächlichen Feststellungen nicht trifft, die zur Überprüfung des eidgenössischen Rechts notwendig sind oder wenn die rechtliche Begründung des angefochtenen Entscheides so lückenhaft oder unvollständig ist, dass nicht geprüft werden kann, wie das eidgenössische Recht angewendet wurde; ferner wenn einzelne Tatbestandsmerkmale, die für die Subsumtion unter eine gesetzliche Norm von Bedeutung sind, von der Vorinstanz nicht oder nicht genügend abgeklärt wurden (SCHWERI, a.a.O., S. 191 N. 600/601).</w:t>
      </w:r>
    </w:p>
    <w:p>
      <w:r>
        <w:rPr>
          <w:b/>
        </w:rPr>
        <w:t>E. 6</w:t>
      </w:r>
    </w:p>
    <w:p>
      <w:r>
        <w:t>a) Der Beschwerdeführer bestreitet in den meisten angefochtenen Einzelfällen das Tatbestandsmerkmal der Arglist. Er beanstandet, die Vorinstanz habe verschiedene im Rahmen der Arglist erhebliche Gesichtspunkte nicht geprüft. Damit rügt er ausdrücklich die Verletzung materiellen Rechts und macht weder bloss eine Verletzung der Begründungspflicht (Anspruch auf rechtliches Gehör) geltend noch bringt er etwas vor, was sich gegen die tatsächlichen Feststellungen der Vorinstanz richtet (vgl. hiezu BGE 117 Ia 1 E. 1b). b) Die Vorinstanz erachtete den Anklagesachverhalt als unbestritten und nachgewiesen. Danach ertrog der Beschwerdeführer in nahezu allen angefochtenen Einzelfällen von den Opfern Darlehen unter der Vorspiegelung, er werde die Geldsumme in ein gewinnträchtiges Kaffeegeschäft investieren und innert kürzester Frist mit erheblichem Gewinn zurückerstatten. In Wahrheit verbrauchte er das BGE 119 IV 284 S. 288 Geld für seinen Lebensunterhalt. Die Täuschung verknüpfte er in den meisten Fällen mit weiteren Lügen oder betrügerischen Machenschaften, etwa dem Abschluss anderer Verträge (Miete mehrerer Appartements in der Residence eines Hotels oder Kauf von Personenwagen oder Möbeln) oder der Stellung wertloser Sicherheiten. Die Beschreibung der jeweiligen Vorgehensweise des Beschwerdeführers ist im Anklagesachverhalt äusserst knapp gehalten. Unklar bleibt namentlich die Beziehung des Beschwerdeführers zu seinen jeweiligen Opfern. Dennoch kann die rechtliche Würdigung der Vorinstanz für die Mehrzahl der Fälle überprüft werden und ist die Bejahung der Arglist nicht zu beanstanden. Es trifft zu, dass die mangelnde Leistungsbereitschaft des Beschwerdeführers als innerer Vorgang und dessen Bevormundung für die meisten Geschädigten nicht überprüfbar gewesen sind. Dies gilt jedenfalls für diejenigen Fälle, in denen Privatpersonen geschädigt wurden. Die vom Beschwerdeführer geltend gemachte Geschäftserfahrenheit verschiedener Opfer vermag daran nichts zu ändern. Auch wenn einzelne Getäuschte tatsächlich geschäftserfahren waren, kommt dem angesichts des hochstaplerischen Verhaltens des Beschwerdeführers, der zuweilen ein ganzes System von Lügen und betrügerischen Machenschaften errichtete, kein eigenständiges Gewicht zu. Jedenfalls lässt sich nicht sagen, diese Opfer hätten sich im konkreten Zusammenhang ohne weiteres selber schützen können. Somit hat die Vorinstanz in den angefochtenen Fällen I.A.1, 2, 4, 5, 8-17 und B.32 Arglist zu Recht bejaht. c) In den Anklagepunkten I.A6 sowie B.27a und 30a hat die Vorinstanz die tatsächlichen Verhältnisse im angefochtenen Urteil nur ungenügend abgeklärt, so dass die Gesetzesanwendung nicht nachgeprüft werden kann. Im Fall I.A.6, einem Betrugsversuch zum Nachteil der Bank A., beschaffte sich der Beschwerdeführer im Stadthaus Zürich die Personalien des in guten finanziellen Verhältnissen stehenden und denselben Nachnamen führenden Dr. T. und beantragte damit bei der Geschädigten einen Kredit in der Höhe von Fr. 50'000.--, auszahlbar an seine eigene Adresse. Die notwendigen Belege unterzeichnete er mit dem Falschnamen "Dr. T.". Die Vorinstanz bejahte in ihren besonderen Erwägungen zu diesem Anklagepunkt Arglist mit der Begründung, der Beschwerdeführer habe nicht bloss leicht überprüfbare Falschangaben gemacht, sondern zusätzlich eine Identitätstäuschung begangen, die geeignet gewesen sei, allfällige Abklärungen BGE 119 IV 284 S. 289 der Bank über die persönlichen und finanziellen Verhältnisse wirkungslos werden zu lassen. Die Vorinstanz macht keine Ausführungen darüber, ob und allenfalls wie die Getäuschte die falschen Angaben des Beschwerdeführers über seine Person überprüft hat. Sie setzt sich auch nicht mit dem Umstand auseinander, dass die Geschädigte als Bank, die gewerbsmässig Kredite gewährt, sich dank ihrer Erfahrung besser gegen Betrüge schützen kann als private Personen, und dass sie im Rahmen einer ordnungsgemässen Geschäftsführung von Gesetzes wegen dazu auch stärker verpflichtet ist (vgl. BGE 119 IV 28 E. 2 f.). Ob Arglist zu Recht bejaht wurde, kann somit in diesem Fall nicht überprüft werden. Dasselbe gilt für die Fälle I.B.27a zum Nachteil der B.-Finanz AG und I.B.30a zum Nachteil der Versicherungsgesellschaft C. In beiden Fällen schloss der Beschwerdeführer unter falschem Namen Leasing- bzw. Versicherungsverträge ab. Die Vorinstanz macht auch in diesen beiden Fällen keine Ausführungen darüber, ob und wie die Geschädigten die falschen Angaben überprüften bzw. wieweit ihnen dies möglich oder zumutbar war. Die Rechtsanwendung kann daher auch in diesen zwei Punkten nicht überprüft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