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260</w:t>
      </w:r>
    </w:p>
    <w:p>
      <w:r>
        <w:t>Bundesgericht (BGE), 1993-01-01, DE</w:t>
      </w:r>
    </w:p>
    <w:p>
      <w:r>
        <w:rPr>
          <w:b/>
        </w:rPr>
        <w:t xml:space="preserve">Quelle: </w:t>
      </w:r>
      <w:r>
        <w:t>https://mcp.opencaselaw.ch/entscheid/bge_BGE_119_IV_260</w:t>
      </w:r>
    </w:p>
    <w:p>
      <w:r>
        <w:t>FR: ATF 119 IV 260</w:t>
      </w:r>
    </w:p>
    <w:p>
      <w:r>
        <w:t>IT: DTF 119 IV 260</w:t>
      </w:r>
    </w:p>
    <w:p>
      <w:pPr>
        <w:pStyle w:val="Heading2"/>
      </w:pPr>
      <w:r>
        <w:t>Regeste</w:t>
      </w:r>
    </w:p>
    <w:p>
      <w:r>
        <w:t>Regeste Art. 57 Abs. 5 lit. b SVG, Art. 3b Abs. 3 VRV; Art. 49 BV und Art. 9 EMRK; Helmtragpflicht eines Motorfahrradfahrers; Glaubens- und Gewissensfreiheit. Verordnungen des Bundesrates sind vorfrageweise auf ihre Gesetzes- und Verfassungsmässigkeit zu überprüfen (E. 2). Die Glaubens- und Gewissensfreiheit der Angehörigen der Religionsgemeinschaft der Sikhs wird durch die Pflicht, einen Schutzhelm zu tragen, nicht beeinträchtigt (E. 3).</w:t>
      </w:r>
    </w:p>
    <w:p>
      <w:r>
        <w:t>Regeste Art. 57 al. 5 let. b LCR, art. 3b al. 3 OCR; art. 49 Cst. et art. 9 CEDH; obligation de porter le casque pour le conducteur de cyclomoteur; liberté de conscience et de croyance. La base légale et constitutionnelle des ordonnances du Conseil fédéral doit être contrôlée préjudiciellement (consid. 2). La liberté de conscience et de croyance des membres de la communauté religieuse des sikhs n'est pas lésée par l'obligation de porter un casque de protection (consid. 3).</w:t>
      </w:r>
    </w:p>
    <w:p>
      <w:r>
        <w:t>Regesto Art. 57 cpv. 5 lett. b LCS, art. 3b cpv. 3 ONC; art. 49 Cost. e art. 9 CEDU; obbligo dei conducenti di ciclomotori di portare il casco di protezione; libertà di credenza e di coscienza. La base legale e costituzionale delle ordinanze del Consiglio federale dev'essere controllata a titolo pregiudiziale (consid. 2). La libertà di credenza e di coscienza dei membri della comunità religiosa dei sikh non è lesa dall'obbligo di portare il casco di protezione (consid. 3).</w:t>
      </w:r>
    </w:p>
    <w:p>
      <w:pPr>
        <w:pStyle w:val="Heading2"/>
      </w:pPr>
      <w:r>
        <w:t>Erwägungen</w:t>
      </w:r>
    </w:p>
    <w:p>
      <w:r>
        <w:rPr>
          <w:b/>
        </w:rPr>
        <w:t>E. 1</w:t>
      </w:r>
    </w:p>
    <w:p>
      <w:r>
        <w:t>a) Der erstinstanzliche Richter war aufgrund der Ausführungen des Beschwerdeführers davon ausgegangen, die Religion der Sikhs verbiete ihren Angehörigen zwar, das Haupt in der Öffentlichkeit entblösst zu zeigen, nicht hingegen das Tragen eines Helms. Er hatte daher angenommen, dass die Helmtragpflicht die Religionsfreiheit des Beschwerdeführers nicht tangiere. Die Glaubens- und Gewissensfreiheit wäre nach dessen Auffassung durch die Helmtragpflicht selbst dann nicht beeinträchtigt, wenn die Religion des Beschwerdeführers das Tragen eines Turbans strikte vorschreiben würde. Denn die Pflicht, einen Helm zu tragen, untersage nicht das Tragen eines Turbans, sondern das Führen eines Motorfahrrades ohne Helm. Der erstinstanzliche Richter war daher zum Schluss gelangt, der Beschwerdeführer habe das Tragen des Schutzhelms lediglich aus Gründen der Bequemlichkeit und aus Furcht vor Spott unterlassen, was keine Ausnahme von der Helmtragpflicht rechtfertige. Die Vorinstanz erachtete diese Feststellung nicht als aktenwidrig oder willkürlich. b) Die Rüge, Art. 3b Abs. 3 VRV sei nicht verfassungs- und EMRK-konform ausgelegt worden, betrachtete die Vorinstanz als unbegründet. Sie führte aus, zu einer verfassungskonformen Auslegung von Art. 3b Abs. 3 VRV bestehe schon deshalb kein Anlass, weil die Vorschrift völlig klar sei. Sie habe eine klare gesetzliche Grundlage in Art. 57 Abs. 5 lit. b SVG , welche Bestimmung gemäss Art. 113 Abs. 3 BV nicht auf ihre Verfassungsmässigkeit überprüft werden könne. Im übrigen entbänden die Glaubensansichten gemäss Art. 49 Abs. 5 BV nicht von der Erfüllung der bürgerlichen Pflichten. Art. 3b Abs. 3 VRV halte sich sodann klar an die delegierte Kompetenz. Die Bestimmung verstosse auch nicht gegen Art. 9 EMRK . Die Europäische Menschenrechtskommission habe im Fall eines in BGE 119 IV 260 S. 262 England lebenden Sikh's festgestellt, das Helmtragobligatorium sei für Motorradfahrer eine notwendige Sicherheitsmassnahme und durch Art. 9 Abs. 2 EMRK gedeckt; daran ändere nichts, dass in England das Helmtragobligatorium gegenüber den Sikh's inzwischen aufgehoben worden sei. c) Der Beschwerdeführer macht geltend, die Vorinstanz habe Art. 3b Abs. 3 VRV nicht verfassungs- und EMRK-konform ausgelegt. Seine Religion verbiete ihm, das Haupt in der Öffentlichkeit entblösst zu zeigen. Aus diesem Grund bedeute für Sihks jede Handlung, die sie zum Entblössen des Hauptes zwinge, eine klare Diskriminierung. Es sei nicht möglich, über dem Turban einen Helm zu tragen. Das Helmtragobligatorium diene in erster Linie dem Selbstschutz. Ein öffentliches Interesse für einen Vorrang der Helmtragpflicht vor der Ausübung der Religionsfreiheit sei nicht ersichtlich. Im Hinblick auf die Schwere des Eingriffes in das verfassungsmässige Recht sei der Entscheid der Vorinstanz aber auch nicht mehr verhältnismässig.</w:t>
      </w:r>
    </w:p>
    <w:p>
      <w:r>
        <w:rPr>
          <w:b/>
        </w:rPr>
        <w:t>E. 2</w:t>
      </w:r>
    </w:p>
    <w:p>
      <w:r>
        <w:t>Gemäss Art. 113 Abs. 3 BV sind die von der Bundesversammlung erlassenen Gesetze und allgemeinverbindlichen Beschlüsse sowie die von ihr genehmigten Staatsverträge für das Bundesgericht massgebend. Es kann jedoch im Verfahren der eidgenössischen Nichtigkeitsbeschwerde vorfrageweise Verordnungen des Bundesrats auf ihre Gesetzes- und Verfassungsmässigkeit prüfen, wenn die strafrechtliche Verurteilung gestützt auf eine solche Verordnung erfolgt ( BGE 118 IV 192 E. 1). Bei unselbständigen Verordnungen, die sich auf eine gesetzliche Delegation stützen, prüft es, ob sich der Bundesrat in den Grenzen der ihm im Gesetz eingeräumten Befugnisse gehalten hat. Ergibt sich bei dieser Prüfung, dass die in Frage stehende Verordnungsbestimmung gesetzmässig ist, ist weiter deren Verfassungsmässigkeit zu überprüfen, es sei denn ein Abweichen von der Verfassung sei in der massgeblichen Gesetzesvorschrift begründet ( BGE 118 Ib 81 E. 3b mit Hinweisen; BGE 118 IV 192 E. 2b; BGE 105 IV 251 E. 2a; BGE 100 IV 98 E. 2; BGE 92 I 433 ; ANDREAS AUER, Die Schweizerische Verfassungsgerichtsbarkeit, S. 116 ff.; WALTER KÄLIN, Das Verfahren der staatsrechtlichen Beschwerde, S. 55 ff.). Wird dem Bundesrat durch die gesetzliche Delegation ein sehr weiter Spielraum des Ermessens für die Regelung auf Verordnungsebene eingeräumt, so ist dieser Spielraum nach Art. 113 Abs. 3 BV für das Bundesgericht verbindlich; es darf in diesem Falle bei der Überprüfung der Verordnung nicht sein eigenes Ermessen an die BGE 119 IV 260 S. 263 Stelle desjenigen des Bundesrates setzen, sondern beschränkt sich auf die Prüfung, ob die Verordnung den Rahmen der dem Bundesrat im Gesetz delegierten Kompetenzen offensichtlich sprengt oder aus anderen Gründen gesetz- oder verfassungswidrig sei ( BGE 118 Ib 81 E. 3b, BGE 118 IV 192 E. 2b mit weiteren Hinweisen). In diesem Rahmen ist die Gesetzes- und Verfassungsmässigkeit bzw. EMRK-Konformität von Art. 3b Abs. 3 VRV zu überprüfen. Entgegen ihrer geäusserten Auffassung wäre auch die Vorinstanz dazu berechtigt und verpflichtet gewesen (vgl. AUER, a.a.O., S. 19/20 und 111/112).</w:t>
      </w:r>
    </w:p>
    <w:p>
      <w:r>
        <w:rPr>
          <w:b/>
        </w:rPr>
        <w:t>E. 3</w:t>
      </w:r>
    </w:p>
    <w:p>
      <w:r>
        <w:t>a) Die Bestimmung von Art. 3b Abs. 3 VRV beruht auf Art. 57 Abs. 5 lit. b SVG , wonach der Bundesrat vorschreiben kann, dass Führer und Mitfahrer von Zweirädern mit motorischem Antrieb Schutzhelme tragen. Damit beruht die Verordnungsbestimmung auf einer genügenden gesetzlichen Grundlage und hält sich auch im Rahmen der Delegationsnorm ( BGE 118 IV 192 E. 2c). b) aa) Gemäss Art. 49 Abs. 1 BV ist die Glaubens- und Gewissensfreiheit unverletzlich. Die Religionsfreiheit gewährleistet das Recht, eine religiöse oder weltanschauliche Überzeugung zu haben, sowie diese, innerhalb gewisser Schranken, zu äussern, zu verbreiten und zu praktizieren ( BGE 118 Ia 46 E. 4c). Unter dem Schutz der Religionsfreiheit stehen Weltanschauungen, soweit sie Ausdruck des Religiösen oder Transzendenten sind und eine Gesamtschau der Welt und des Lebens zum Gegenstand haben (ULRICH HAEFELIN, BV-Kommentar, N 46 zu Art. 49). Als Formen religiöser Betätigung sind Verhaltensweisen geschützt, die als unmittelbarer Ausdruck religiöser oder weltanschaulicher Überzeugungen erscheinen (PETER KARLEN, Das Grundrecht der Religionsfreiheit in der Schweiz, Diss. Zürich 1988, S. 214). Dazu gehört auch das Tragen besonderer religiöser Kleidung (KARLEN, a.a.O., S. 233). Art. 9 Ziff. 1 EMRK verleiht jedermann Anspruch auf Gedanken-, Gewissens- und Religionsfreiheit, insbesondere die Freiheit, seine Religion oder Weltanschauung einzeln oder in Gemeinschaft mit andern, öffentlich oder privat, durch Gottesdienst, Unterricht, Andachten und Beachtung religiöser Gebräuche auszuüben. Nach Ziff. 2 derselben Bestimmung darf die Religions- und Bekenntnisfreiheit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BGE 119 IV 260 S. 264 Auch Art. 49 BV gewährleistet die Glaubens- und Gewissensfreiheit nicht vorbehaltlos. Die Bundesverfassung regelt ihre Schranken allerdings nur lückenhaft. Ausdrücklich erwähnt wird in Art. 49 Abs. 5 BV der Vorrang der bürgerlichen Pflichten vor den Glaubensansichten (vgl. dazu BGE 117 Ia 311 E. 1 mit Hinweisen). Auch wenn das Verfassungsrecht diesen Vorrang der Bürgerpflichten vorsieht, dispensiert es damit nicht von der verfassungsmässigen Ausgestaltung dieser Bürgerpflichten. Die Beschränkung der Glaubens- und Gewissensfreiheit setzt wie diejenige anderer Freiheitsrechte eine gesetzliche Grundlage sowie die Wahrung des öffentlichen Interesses sowie des Verhältnismässigkeitsgrundsatzes voraus. Die religiösen Freiheiten dürfen durch die Festlegung von Bürgerpflichten somit nicht weiter eingeschränkt werden, als dies vom öffentlichen Interesse geboten und verhältnismässig ist bzw. eine notwendige Massnahme im Sinne von Art. 9 Ziff. 2 EMRK darstellt (BGE BGE 117 Ia 311 E. 2b mit weiteren Hinweisen). bb) Die kantonalen Instanzen haben in tatsächlicher Hinsicht für das Bundesgericht verbindlich festgestellt ( Art. 277bis BStP ), dass die Religion der Sikhs, zu deren Glaubensbrüdern der Beschwerdeführer gehört, ihren Angehörigen verbiete, ihr Haupt in der Öffentlichkeit entblösst zu zeigen. Dieses Verbot, dessen Wichtigkeit für die Sikhs der erstinstanzliche Richter zu Recht nicht angezweifelt hat, geniesst als Ausdruck religiöser Wertvorstellungen ebenso wie religiöse Kleidervorschriften grundsätzlich den Schutz der Glaubens- und Gewissensfreiheit (siehe oben E. 3b/aa). Die Vorinstanzen stellten dazu für das Bundesgericht weiter verbindlich fest, die Religion der Sihks schreibe diesen nicht ausdrücklich vor, dass sie einen Turban tragen müssten. Daraus ergibt sich, dass das Tragen eines Helms den religiösen Vorschriften der Sihks nicht zuwiderläuft. Dies wird auch vom Beschwerdeführer nicht in Abrede gestellt. Es lässt sich daher entgegen der Auffassung des Beschwerdeführers nicht sagen, er werde durch die in Art. 3b Abs. 3 VRV festgelegte Pflicht, einen Schutzhelm zu tragen, zum Entblössen seines Hauptes in der Öffentlichkeit gezwungen. Es ist ihm möglich, beim Benützen eines Motorfahrrades den Turban jeweils in privaten Räumlichkeiten gegen den Schutzhelm zu vertauschen, oder auch an anderen Orten, wo er nicht sein entblösstes Haupt der Öffentlichkeit zeigen muss. Dass er in einer Weise auf ein Motorfahrrad als Fortbewegungsmittel angewiesen sei, dass ihm dies unzumutbare Umtriebe verursache, macht er nicht geltend und ist auch nicht ersichtlich. Es mag zutreffen, dass es im innerstädtischen Verkehr BGE 119 IV 260 S. 265 möglicherweise als unzumutbar erscheinen kann, wenn sich der Beschwerdeführer als Fussgänger mit dem aufgesetzten Schutzhelm auf die Suche nach einem Ort machen muss, an dem er sein Haupt vor den Blicken der Öffentlichkeit geschützt entblössen kann. Wenn der Beschwerdeführer insoweit einwendet, er müsse sich dadurch lächerlich machen, ist er indessen darauf hinzuweisen, dass er, um dem zu entgehen, ohne weiteres von den in städtischen Verhältnissen regelmässig bestehenden öffentlichen Verkehrsmitteln Gebrauch machen kann. Bei Fahrten in ländlichen Verhältnissen ist ein diskretes Vertauschen des Turbans gegen den Schutzhelm und umgekehrt leichter möglich und die ihm durch die Helmtragpflicht infolge des Gebots seiner Religionsgemeinschaft verursachten Umtriebe daher zumutbar. Eine Beeinträchtigung der Glaubens- und Gewissensfreiheit durch die Anwendung von Art. 3b Abs. 3 VRV gegenüber dem Beschwerdeführer als Angehörigen der Sihks ist daher zu verneinen. Ob ein Eingriff in das Grundrecht der Glaubens- und Gewissensfreiheit infolge eines überwiegenden öffentlichen Interesses am Helmtragobligatorium, das der Verhütung schwerer Unfälle und der daraus resultierenden hohen, auch die Allgemeinheit belastenden Kosten dient, nicht jedenfalls auch verhältnismässig wäre, braucht unter diesen Umständen nicht geprüft zu werden. Immerhin kann darauf verwiesen werden, dass die Europäische Kommission für Menschenrechte in einem Entscheid vom 12. Juli 1978 erkannte, die Helmtragpflicht für Motorradfahrer sei eine im Interesse der öffentlichen Sicherheit notwendige Massnahme, die gemäss Art. 9 Abs. 2 EMRK einen Eingriff in die Religionsfreiheit rechtfertige; daran ändere nichts, dass der betroffene Staat inzwischen eine Ausnahme von dieser Verkehrsvorschrift zulasse (X. c/ROYAUME-UNI, DR 14, 234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