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238</w:t>
      </w:r>
    </w:p>
    <w:p>
      <w:r>
        <w:t>Bundesgericht (BGE), 1993-01-01, FR</w:t>
      </w:r>
    </w:p>
    <w:p>
      <w:r>
        <w:rPr>
          <w:b/>
        </w:rPr>
        <w:t xml:space="preserve">Quelle: </w:t>
      </w:r>
      <w:r>
        <w:t>https://mcp.opencaselaw.ch/entscheid/bge_BGE_119_IV_238</w:t>
      </w:r>
    </w:p>
    <w:p>
      <w:r>
        <w:t>FR: ATF 119 IV 238</w:t>
      </w:r>
    </w:p>
    <w:p>
      <w:r>
        <w:t>IT: DTF 119 IV 238</w:t>
      </w:r>
    </w:p>
    <w:p>
      <w:pPr>
        <w:pStyle w:val="Heading2"/>
      </w:pPr>
      <w:r>
        <w:t>Regeste</w:t>
      </w:r>
    </w:p>
    <w:p>
      <w:r>
        <w:t>Regeste Art. 292 StGB; Ungehorsam gegen eine amtliche Verfügung; Vorsatz. Gegen diese Bestimmung verstösst nur, wer vorsätzlich handelt, d.h. die Tat im Wissen um die amtliche Anordnung und die strafrechtlichen Folgen begeht. Die blosse rechtsgenügliche Eröffnung der Verfügung genügt nicht, wenn der Betroffene deren Inhalt nicht kannte (E. 2).</w:t>
      </w:r>
    </w:p>
    <w:p>
      <w:r>
        <w:t>Regeste Art. 292 CP; Insoumission à une décision de l'autorité; Intention. Ne se rend coupable de cette infraction que celui qui agit intentionnellement, c'est-à-dire en connaissant l'injonction et les conséquences pénales d'une insubordination. Il ne suffit pas que la décision ait été valablement notifiée s'il n'est pas établi que l'intéressé en a effectivement eu connaissance (consid. 2).</w:t>
      </w:r>
    </w:p>
    <w:p>
      <w:r>
        <w:t>Regesto Art. 292 CP; disobbedienza a decisioni dell'autorità; intenzione. Si rende colpevole di tale reato solo chi agisce intenzionalmente, ossia conoscendo l'ingiunzione e le conseguenze penali di un'inottemperanza. Non basta che la decisione sia stata validamente intimata ove non consti che l'interessato ne abbia effettivamente avuto conoscenza (consid. 2).</w:t>
      </w:r>
    </w:p>
    <w:p>
      <w:pPr>
        <w:pStyle w:val="Heading2"/>
      </w:pPr>
      <w:r>
        <w:t>Erwägungen</w:t>
      </w:r>
    </w:p>
    <w:p>
      <w:r>
        <w:rPr>
          <w:b/>
        </w:rPr>
        <w:t>E. 2</w:t>
      </w:r>
    </w:p>
    <w:p>
      <w:r>
        <w:t>a) Selon l' art. 292 CP , "celui qui ne se sera pas conformé à une décision à lui signifiée, sous la menace de la peine prévue au présent article, par une autorité ou un fonctionnaire compétents sera puni des arrêts ou de l'amende". Pour que l'infraction soit réalisée, il faut que l'insoumission soit intentionnelle ( ATF 78 IV 239 ; STRATENWERTH, Bes. Teil II, 3e éd., p. 291 no 10; TRECHSEL, Kurzkommentar StGB, art. 292 no 9; HAUSER/REHBERG, Strafrecht IV p. 282). L'intention suppose la connaissance de l'injonction, de sa validité et des conséquences pénales de l'insoumission (HAUSER/REHBERG, op.cit., p. 282). Le dol éventuel suffit (STRATENWERTH, op.cit., p. 291 s. no 10). b) En l'espèce, la cour cantonale n'a nullement exclu que le recourant ait omis de prendre connaissance de l'injonction comminatoire et qu'il ait ignoré encourir les peines de l' art. 292 CP s'il ne remettait pas sa comptabilité. Elle a considéré que ces points de fait étaient sans pertinence et qu'il appartenait au recourant de prendre connaissance du courrier reçu à l'adresse qu'il avait lui-même indiquée. A l'appui de sa conception juridique, la cour cantonale s'est référée à HAUSER/REHBERG et à TRECHSEL. En ce qui concerne HAUSER/REHBERG, il est vrai que ces auteurs affirment, dans un passage qui semble plutôt viser la validité de l'injonction du point de vue du droit administratif, qu'elle doit être reçue, mais qu'il n'est pas nécessaire que le destinataire en prenne connaissance (HAUSER/REHBERG, op.cit., p. 281). Ils se réfèrent cependant, à l'appui de cette affirmation, d'une part à IMBODEN/RHINOW et d'autre part à un arrêt cantonal. L'arrêt cantonal se rapporte à l' art. 291 CP (rupture de ban), qui ne contient pas la formule "à lui signifiée" et qui n'est donc guère transposable ici; de toute manière, il ressort de cet arrêt que l'intéressé avait connaissance de la décision prise à son encontre (SJZ 55 (1959) 312). Quant à IMBODEN/RHINOW, ces auteurs affirment, au contraire de la cour cantonale, que celui qui ne va pas chercher le pli à la poste n'est pas punissable, l'intention délictueuse supposant la conscience et la volonté de transgresser l'injonction comminatoire (IMBODEN/ RHINOW, Schweizerische Verwaltungsrechtsprechung, 5e éd., I no 51 p. 306). On ne saurait d'ailleurs admettre que HAUSER/REHBERG soutiennent la thèse de la cour cantonale. En effet, ces auteurs, lorsqu'ils traitent de l'intention requise par l' art. 292 CP , indiquent très clairement BGE 119 IV 238 S. 241 qu'elle suppose la connaissance de l'injonction et de la punissabilité de l'insoumission (HAUSER/REHBERG, op.cit., p. 282). Pour ce qui est de TRECHSEL, également cité par la cour cantonale, il traite de la question à la note 9 et considère, en ce qui concerne l'intention, que l'auteur n'est pas punissable s'il n'a pas eu connaissance de l'injonction comminatoire, même s'il a refusé de recevoir le pli et s'il est réputé l'avoir reçu selon les règles de procédure (TRECHSEL, op.cit., art. 292 no 9). Les auteurs cités par la cour cantonale à l'appui de sa thèse ne se prononcent donc pas dans le même sens qu'elle. c) L' art. 292 CP réprime pénalement l'insoumission à une décision d'une autorité. Il résulte clairement des mots "une décision à lui signifiée, sous la menace de la peine prévue au présent article" que le législateur a attaché une importance décisive au fait que l'intéressé soit avisé des conséquences pénales d'un refus d'obtempérer. La jurisprudence a insisté sur la précision que doit avoir la menace ( ATF 105 IV 249 s.). L'infraction, qui est intentionnelle, consiste à passer outre à une telle injonction comminatoire; elle suppose donc que l'auteur ait été prévenu des conséquences pénales d'une insubordination. Celui qui, pour quelque motif que ce soit, n'a pas connaissance de l'injonction ou des conséquences pénales d'une insubordination ne peut pas réaliser l'intention délictueuse requise par l' art. 292 CP , la question du dol éventuel étant réservée. La doctrine et la jurisprudence cantonale publiée se sont d'ailleurs également prononcées dans ce sens (TRECHSEL, op.cit., art. 292 no 9; HAUSER/REHBERG, op.cit., p. 282; IMBODEN/RHINOW, op.cit., p. 306; SJZ 64 (1968) 226). d) En l'espèce, la cour cantonale n'a pas constaté en fait que le recourant savait, à partir d'un certain moment, qu'il encourait les peines de l' art. 292 CP en cas d'insubordination, ou qu'il ait accepté cette éventualité. L'état de fait retenu ne permet donc pas de constater une infraction à l' art. 292 CP . En suivant strictement la théorie procédurale de la réception, la cour cantonale est partie d'une fausse conception de l'intention délictueuse requise par l' art. 292 CP , et son arrêt, violant le droit fédéral, doit donc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