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107</w:t>
      </w:r>
    </w:p>
    <w:p>
      <w:r>
        <w:t>Bundesgericht (BGE), 1993-01-01, DE</w:t>
      </w:r>
    </w:p>
    <w:p>
      <w:r>
        <w:rPr>
          <w:b/>
        </w:rPr>
        <w:t xml:space="preserve">Quelle: </w:t>
      </w:r>
      <w:r>
        <w:t>https://mcp.opencaselaw.ch/entscheid/bge_BGE_119_IV_107</w:t>
      </w:r>
    </w:p>
    <w:p>
      <w:r>
        <w:t>FR: ATF 119 IV 107</w:t>
      </w:r>
    </w:p>
    <w:p>
      <w:r>
        <w:t>IT: DTF 119 IV 107</w:t>
      </w:r>
    </w:p>
    <w:p>
      <w:pPr>
        <w:pStyle w:val="Heading2"/>
      </w:pPr>
      <w:r>
        <w:t>Regeste</w:t>
      </w:r>
    </w:p>
    <w:p>
      <w:r>
        <w:t>Regeste Art. 4 BV, Art. 6 Ziff. 1 EMRK, Art. 84 OG, Art. 269 BStP; Verletzung des Beschleunigungsgebots im Strafverfahren; staatsrechtliche Beschwerde oder Nichtigkeitsbeschwerde? Die Frage, ob das Beschleunigungsgebot verletzt wurde, betrifft eine mit staatsrechtlicher Beschwerde zu rügende unmittelbare Verletzung der Bundesverfassung bzw. der EMRK. Die Frage, welche Folgen eine Verletzung des Beschleunigungsgebots für die Auslegung und Anwendung eidgenössischen Strafrechts hat, betrifft demgegenüber die verfassungs- bzw. konventionskonforme Auslegung und Anwendung von Bundesrecht und ist mit Nichtigkeitsbeschwerde aufzuwerfen.</w:t>
      </w:r>
    </w:p>
    <w:p>
      <w:r>
        <w:t>Regeste Art. 4 Cst., art. 6 ch. 1 CEDH, art. 84 OJ, art. 269 PPF; violation du principe de la célérité du procès en matière pénale; recours de droit public ou pourvoi en nullité? La question de savoir si le principe de la célérité du procès a été violé doit être soulevée dans le cadre d'un recours de droit public, en tant que violation directe de la Constitution ou de la CEDH. La question de savoir quelles sont les conséquences d'une telle violation sur l'interprétation et sur l'application du droit fédéral relève en revanche d'une interprétation et d'une application de la loi dans le respect de la Constitution, respectivement de la Convention, et doit partant faire l'objet d'un pourvoi en nullité.</w:t>
      </w:r>
    </w:p>
    <w:p>
      <w:r>
        <w:t>Regesto Art. 4 Cost., art. 6 n. 1 CEDU, art. 84 OG, art. 269 PP; violazione del principio della celerità del procedimento in materia penale; ricorso di diritto pubblico o ricorso per cassazione? La questione se sia stato violato il principio della celerità del procedimento va sollevata con ricorso di diritto pubblico, in quanto violazione diretta della Costituzione o della CEDU. La questione relativa alle conseguenze di una siffatta violazione sull'interpretazione e sull'applicazione del diritto federale concerne invece l'interpretazione e l'applicazione conformi alla Costituzione e alla CEDU del diritto federale e deve quindi essere sollevata con ricorso per cassazione.</w:t>
      </w:r>
    </w:p>
    <w:p>
      <w:pPr>
        <w:pStyle w:val="Heading2"/>
      </w:pPr>
      <w:r>
        <w:t>Erwägungen</w:t>
      </w:r>
    </w:p>
    <w:p>
      <w:r>
        <w:rPr>
          <w:b/>
        </w:rPr>
        <w:t>E. 1</w:t>
      </w:r>
    </w:p>
    <w:p>
      <w:r>
        <w:t>Der Beschwerdeführer rügt eine Verletzung des Beschleunigungsgebots gemäss Art. 6 Ziff. 1 EMRK . Er macht geltend, eine blosse Reduktion der Busse oder auch ein gänzlicher Verzicht auf Bestrafung würde in seinem Fall der Verletzung des Beschleunigungsgebots ganz offensichtlich zu wenig Rechnung tragen. Als angemessene Sanktion komme daher nur die Einstellung des Verfahrens in Frage. Die Vorinstanz habe daher Bundesrecht (Art. 35 Abs. 1 - 3, Art. 34 Abs. 4 und Art. 90 Ziff. 2 SVG oder Art. 63 StGB ) verletzt, indem sie das Strafverfahren nicht eingestellt habe. a) Die Rüge der unmittelbaren Verletzung der EMRK oder der Bundesverfassung ist mit staatsrechtlicher Beschwerde vorzubringen. Mit der eidgenössischen Nichtigkeitsbeschwerde können lediglich Rügen einer mittelbaren Verletzung der Bundesverfassung oder der EMRK, d.h. einer nicht verfassungs- bzw. nicht konventionskonformen Auslegung und Anwendung von Bundesrecht, erhoben werden ( BGE 116 IV 388 E. 1, BGE 114 Ia 377 , BGE 114 IV 26 E. 4, je mit Hinweisen). b) Die Frage, ob das Rechtsverzögerungsverbot oder Beschleunigungsgebot gemäss Art. 4 BV und Art. 6 Ziff. 1 EMRK verletzt BGE 119 IV 107 S. 110 wurde, betrifft die unmittelbare Verletzung der Bundesverfassung bzw. der EMRK. Die entsprechenden Rügen sind daher mit der staatsrechtlichen Beschwerde vorzubringen. Demgegenüber betrifft die Frage, welche Folgen eine Verletzung des Beschleunigungsgebots für die Auslegung und Anwendung eidgenössischen Strafrechts hat, die mittelbare Verletzung von Art. 4 BV und Art. 6 Ziff. 1 EMRK . Wird eine derartige Verletzung festgestellt und der Verfahrensverzögerung im Rahmen der Strafzumessung Rechnung getragen oder dadurch, dass der Täter zwar schuldig gesprochen, aber von Strafe Umgang genommen oder das Verfahren gar eingestellt wird (vgl. BGE 117 IV 129 E. d), handelt es sich um eine verfassungs- und EMRK-konforme Auslegung und Anwendung des in Frage stehenden Bundesstrafrechts. Die Frage, ob eine kantonale Instanz eine bundesrechtliche Strafbestimmung zu Recht nicht angewendet hat, weil die Verurteilung mit der EMRK nicht zu vereinbaren wäre, kann daher mit eidgenössischer Nichtigkeitsbeschwerde aufgeworfen werden ( BGE 117 IV 125 , BGE 114 IV 119 E. bb). Dasselbe gilt im umgekehrten Fall, wenn der Beschwerdeführer geltend macht, das Bundesrecht sei nicht verfassungs- bzw. konventionsgemäss ausgelegt und angewendet worden. c) Soweit der Beschwerdeführer einwendet, die Vorinstanz habe eine Verletzung des Beschleunigungsgebots gemäss Art. 4 BV und Art. 6 Ziff. 1 EMRK zu Unrecht verneint, ist danach auf die Nichtigkeitsbeschwerde nicht einzutreten. Zu prüfen ist indes, ob die Verfahrensdauer von viereinhalb Jahren besondere Sanktionen nach sich ziehen muss (vgl. dazu BGE 117 IV 129 ). Dies ist für den zu beurteilenden Fall zu verneinen. Zwar erscheint die Verfahrensdauer für eine grobe Verletzung von Verkehrsregeln, die keine besonderen Beweiserhebungen wie Expertisen erforderte und eine Busse von Fr. 350.-- zur Folge hatte, als überdurchschnittlich lang. Es ist jedoch zu beachten, dass sie für den Beschwerdeführer zu keiner besonderen Belastung geführt hat. Insbesondere ist er keinen Beschränkungen infolge strafprozessualer Massnahmen zur Sicherung des Verfahrens unterworfen worden und hat keine Beeinträchtigung des sozialen Ansehens oder wirtschaftliche Nachteile erlitten. Im übrigen stand auch kein gravierender Schuldvorwurf in Frage, der eine besondere Belastung hätte herbeiführen können. Die Ungewissheit, ob er wegen einer Verkehrsregelverletzung zu einer nicht hohen Busse verurteilt werden würde, wog nicht schwer. In diesem Zusammenhang ist auch der Umstand zu würdigen, dass der Beschwerdeführer sämtliche BGE 119 IV 107 S. 111 Beschwerdemöglichkeiten ausgeschöpft hat. Zwar hat ihm die Vorinstanz daraus zu Recht keinen Vorwurf gemacht, zumal er mit seinen Rechtsmitteln jeweils im wesentlichen durchdrang. Dennoch kann nicht völlig ausser acht gelassen werden, dass dieses Vorgehen geeignet war, das Verfahren zu verlängern (Entscheid der EMRK vom 1. Juli 1992 i.S. Schertenleib, VPB 1992 Nr. 54; HAEFLIGER, Die Europäische Menschenrechtskonvention und die Schweiz, S. 163). Deshalb hat die Vorinstanz kein Bundesrecht verletzt, wenn sie die lange Verfahrensdauer nicht strafmildernd berücksichtigt oder ihr auf andere Weise Rechnung getragen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