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9</w:t>
      </w:r>
    </w:p>
    <w:p>
      <w:r>
        <w:t>Bundesgericht (BGE), 1993-01-01, FR</w:t>
      </w:r>
    </w:p>
    <w:p>
      <w:r>
        <w:rPr>
          <w:b/>
        </w:rPr>
        <w:t xml:space="preserve">Quelle: </w:t>
      </w:r>
      <w:r>
        <w:t>https://mcp.opencaselaw.ch/entscheid/bge_BGE_119_II_9</w:t>
      </w:r>
    </w:p>
    <w:p>
      <w:r>
        <w:t>FR: ATF 119 II 9</w:t>
      </w:r>
    </w:p>
    <w:p>
      <w:r>
        <w:t>IT: DTF 119 II 9</w:t>
      </w:r>
    </w:p>
    <w:p>
      <w:pPr>
        <w:pStyle w:val="Heading2"/>
      </w:pPr>
      <w:r>
        <w:t>Regeste</w:t>
      </w:r>
    </w:p>
    <w:p>
      <w:r>
        <w:t>Regeste Art. 311 Abs. 1 Ziff. 1 ZGB; Entziehung der elterlichen Gewalt gegenüber einem für lange Zeit inhaftierten Vater. Die Verbüssung einer langfristigen Freiheitsstrafe durch den Vater, in einer gewissen Entfernung vom Wohnort der Kinder, kann mit der Ortsabwesenheit im Sinne von Art. 311 Abs. 1 Ziff. 1 ZGB als analogem Tatbestand verglichen werden: sie hindert den Vater, allen Verpflichtungen nachzukommen, welche die elterliche Gewalt mit sich bringt.</w:t>
      </w:r>
    </w:p>
    <w:p>
      <w:r>
        <w:t>Regeste Art. 311 al. 1 ch. 1 CC; Retrait de l'autorité parentale à un père incarcéré pour une longue durée. L'incarcération du père pour une longue période, à une certaine distance du lieu de domicile des enfants, peut être assimilée à un "motif analogue" à l'absence au sens de l'art. 311 al. 1 ch. 1 CC: elle empêche le père d'assumer toutes les obligations qu'implique l'autorité parentale.</w:t>
      </w:r>
    </w:p>
    <w:p>
      <w:r>
        <w:t>Regesto Art. 311 cpv. 1 n. 1 CC; Privazione dell'autorità parentale nei confronti di un padre incarcerato per un lungo periodo. L'incarcerazione del padre per un lungo periodo, a una certa distanza dal luogo di domicilio dei figli, può essere assimilata a un "motivo analogo" all'assenza ai sensi dell'art. 311 cpv. 1 n. 1 CC; essa impedisce al padre di assumersi tutti gli obblighi derivanti dall'autorità parentale.</w:t>
      </w:r>
    </w:p>
    <w:p>
      <w:pPr>
        <w:pStyle w:val="Heading2"/>
      </w:pPr>
      <w:r>
        <w:t>Erwägungen</w:t>
      </w:r>
    </w:p>
    <w:p>
      <w:r>
        <w:rPr>
          <w:b/>
        </w:rPr>
        <w:t>E. 4</w:t>
      </w:r>
    </w:p>
    <w:p>
      <w:r>
        <w:t>Aux termes de l'art. 301 al. 1 CC, les père et mère déterminent les soins à donner à l'enfant, dirigent son éducation en vue de son bien et prennent les décisions nécessaires, sous réserve de sa propre capacité. Ainsi, le droit actuel prévoit que l'autorité parentale est le pouvoir légal des parents de prendre les décisions nécessaires pour l'enfant mineur et constitue la base juridique de l'éducation et de la représentation de l'enfant, et de l'administration de ses biens, par les père et mère (cf. CYRIL HEGNAUER/BERNARD SCHNEIDER, Droit suisse de la filiation, 3e éd., Berne 1990, No 25.02, p. 164; ERIC ECKERT, Compétence et procédure au sujet de l'autorité parentale dans les causes matrimoniales, thèse Lausanne 1990, p. 12/13). a) L'art. 311 al. 1 ch. 1 CC dispose que, lorsque d'autres mesures de protection de l'enfant sont demeurées sans résultat ou paraissent d'emblée insuffisantes, l'autorité tutélaire de surveillance prononce un retrait de l'autorité parentale lorsque, pour cause d'inexpérience, de maladie, d'infirmité, d'absence ou d'autres motifs analogues, les BGE 119 II 9 S. 11 père et mère ne sont pas en mesure d'exercer correctement l'autorité parentale.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(HEGNAUER/SCHNEIDER, op.cit., No 27.46, p. 193; MARTIN STETTLER, Le droit suisse de la filiation, Traité de droit privé suisse, Volume III, tome II, 1, Fribourg 1987, p. 560; RICHARD FRANK, Grenzbereiche der elterlichen Gewalt, in Festschrift für Cyril Hegnauer, Berne 1986, p. 33 ss, spéc. 40; HENRI DESCHENAUX/PAUL-HENRI STEINAUER, Personnes physiques et tutelle, 2e éd., Berne 1986, No 857, p. 234/235). b) Selon l'autorité cantonale, aussi longtemps que la condamnation du recourant n'était pas définitive, il pouvait apparaître suffisant de lui retirer la garde de ses enfants et de la confier à Y., assortie d'une curatelle de représentation, mais l'entrée en force de l'arrêt de la Cour d'assises constitue un fait nouveau; en effet, dit-elle, l'incarcération du père pour une longue période peut être assimilée à un "motif analogue" à l'absence, au sens de l'art. 311 al. 1 ch. 1 CC. Cette manière de voir ne heurte pas le droit fédéral. Le recourant prétend que, s'agissant de l'éducation des enfants, aucune question ne se posera avant qu'elles aient atteint l'âge de douze ans, soit respectivement en 1999 et en 2000, époque à laquelle il bénéficiera d'une libération conditionnelle. Mais il oublie que ses filles, âgées maintenant de six et cinq ans, doivent suivre une école et que, de ce fait, diverses mesures devront être prises par leur représentant légal. Or, comme il se trouve incarcéré à une certaine distance de Genève, pour plusieurs années, il n'est pas en mesure d'assumer lui-même ses obligations de père, tandis que le titulaire actuel de la garde n'est pas habilité à agir comme devrait le faire un père ou une mère. Le recourant affirme aussi que les visites de ses filles à la prison - visites qui seraient nécessaires à leur développement - ont lieu régulièrement et sans problème: ainsi, dit-il, l'absence pendant la période d'incarcération n'est pas telle que tout contact est coupé. Mais les rencontres alléguées ne ressortent pas de la décision attaquée. Au demeurant, supposé même qu'il fût établi qu'elles ont lieu et sont bénéfiques pour les enfants, il n'en découlerait pas que le BGE 119 II 9 S. 12 recourant est en mesure d'exercer l'autorité parentale: sa condition de détenu ne lui permet manifestement pas de faire tous les actes qu'implique ce pouvoir. Ainsi, contrairement à ce que prétend le recourant, l'autorité cantonale n'a pas, en statuant comme elle l'a fait, violé le principe de la proportionnalité à observer dans les mesures de protection de l'enfant. c) La décision déférée aurait pu aussi être fondée sur le chiffre 2 de l'art. 311 al. 1 CC, qui prévoit le retrait de l'autorité parentale lorsque les père et mère manquent gravement à leurs devoirs envers leurs enfants. En effet, le meurtre par le père de la mère des enfants est un manquement grave aux devoirs des parents.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