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398</w:t>
      </w:r>
    </w:p>
    <w:p>
      <w:r>
        <w:t>Bundesgericht (BGE), 1993-01-01, FR</w:t>
      </w:r>
    </w:p>
    <w:p>
      <w:r>
        <w:rPr>
          <w:b/>
        </w:rPr>
        <w:t xml:space="preserve">Quelle: </w:t>
      </w:r>
      <w:r>
        <w:t>https://mcp.opencaselaw.ch/entscheid/bge_BGE_119_II_398</w:t>
      </w:r>
    </w:p>
    <w:p>
      <w:r>
        <w:t>FR: ATF 119 II 398</w:t>
      </w:r>
    </w:p>
    <w:p>
      <w:r>
        <w:t>IT: DTF 119 II 398</w:t>
      </w:r>
    </w:p>
    <w:p>
      <w:pPr>
        <w:pStyle w:val="Heading2"/>
      </w:pPr>
      <w:r>
        <w:t>Regeste</w:t>
      </w:r>
    </w:p>
    <w:p>
      <w:r>
        <w:t>Regeste Zulässigkeit der Berufung - Zivilrechtsstreitigkeit (Art. 46 OG). Bei einer Streitsache betreffend die Überweisung von Beiträgen der zweiten Säule an eine Vorsorgeeinrichtung handelt es sich nicht um eine Zivilrechtsstreitigkeit im Sinne von Art. 46 OG, selbst wenn der Ausgang der Streitsache von einer Vorfrage des Zivilrechts abhängt, in concreto von der Frage, ob zwischen den Parteien ein Arbeitsvertrag besteht (E. 2).</w:t>
      </w:r>
    </w:p>
    <w:p>
      <w:r>
        <w:t>Regeste Recevabilité du recours en réforme - contestation civile (art. 46 OJ). Le différend portant sur le versement de cotisations du deuxième pilier à une institution de prévoyance n'est pas une contestation civile au sens de l'art. 46 OJ, même si la solution du litige dépend d'une question préjudicielle de droit civil, soit l'existence d'un contrat de travail entre les parties (consid. 2).</w:t>
      </w:r>
    </w:p>
    <w:p>
      <w:r>
        <w:t>Regesto Ricevibilità del riscorso per riforma - causa civile (art. 46 OG). La lite avente per oggetto il versamento di contributi del secondo pilastro ad un istituto di previdenza non è una contestazione civile ai sensi dell'art. 46 OG, anche se il suo esito dipende da una questione pregiudiziale di diritto civile, ossia l'esistenza di un contratto di lavoro (consid. 2).</w:t>
      </w:r>
    </w:p>
    <w:p>
      <w:pPr>
        <w:pStyle w:val="Heading2"/>
      </w:pPr>
      <w:r>
        <w:t>Erwägungen</w:t>
      </w:r>
    </w:p>
    <w:p>
      <w:r>
        <w:rPr>
          <w:b/>
        </w:rPr>
        <w:t>E. 2</w:t>
      </w:r>
    </w:p>
    <w:p>
      <w:r>
        <w:t>a) Sauf exceptions non réalisées dans le cas particulier (art. 44 let. a à f et 45 let. b OJ), le recours en réforme n'est recevable que dans les contestations civiles (art. 43a al. 2, 44 à 46 OJ). La jurisprudence entend par là toute procédure qui vise à provoquer une décision définitive sur des rapports de droit civil et qui se déroule en instance contradictoire entre deux ou plusieurs parties, devant le juge ou toute autre autorité ayant pouvoir de statuer ( ATF 117 II 163 consid. 1a p. 164, ATF 116 II 376 consid. 2 p. 377, ATF 115 II 237 consid. 1a p. 239, ATF 113 II 10 consid. 2 p. 14). Est décisif le point de savoir si la prétention, l'objet du litige est soumis au droit civil fédéral ( ATF 115 II 237 consid. 1a p. 239 et les arrêts cités). La nature de la contestation se détermine sur la base des conclusions de la demande et des faits invoqués à l'appui de celle-ci (POUDRET, COJ II, n. 2.1.3 ad Titre II; WURZBURGER, Les conditions objectives du recours en réforme au Tribunal fédéral, thèse Lausanne 1964, n. 95, p. 63). b) En l'occurrence, la demanderesse a déposé devant le Tribunal des prud'hommes un mémoire intitulé "demande en paiement des cotisations LPP". A titre principal, l'action tendait à la condamnation de la défenderesse à payer à l'institution de prévoyance la part employeur des cotisations du deuxième pilier en faveur de la demanderesse pour les salaires versés à celle-ci en 1989 et 1990. Préalablement, la demanderesse concluait à ce que l'existence du contrat de travail passé entre les parties fût constatée. La contestation ici en cause porte sur une question spécifique à la prévoyance professionnelle régie par la LPP, soit le versement des cotisations par l'employeur à l'institution de prévoyance ( art. 66 al. 2 et 3 LPP ; arrêt du TFA du 30 mai 1989 en la cause W. contre T. S.A., reproduit in SZS 1990, p. 201 ss, consid. 2; MEYER, Die Rechtswege nach dem BVG, in RDS (106) 1987, p. 614; RIEMER, Das Recht der beruflichen Vorsorge in der Schweiz, p. 127). Les dispositions de la LPP, qui règlent le régime obligatoire du deuxième pilier, appartiennent au droit public (BEROS, Die Stellung des Arbeitnehmers im BGE 119 II 398 S. 400 BVG. Obligatorium und freiwillige berufliche Vorsorge, thèse Zurich 1992, p. 37 et 51; RIEMER, op.cit., p. 26; SCHWARZENBACH-HANHART, Die Rechtspflege nach dem BVG, in SZS 1983, p. 175). Il s'ensuit que la contestation existant entre les parties n'est pas de nature civile; peu importe à cet égard que la solution du litige de droit public dépende d'une question préjudicielle de droit civil, en l'occurrence l'existence d'un contrat de travail (MESSMER/IMBODEN, Die eidgenössischen Rechtsmittel in Zivilsachen, p. 70; WURZBURGER, op.cit., p. 68; BIRCHMEIER, Bundesrechtspflege, p. 123). Sur le vu de ce qui précède,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