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361</w:t>
      </w:r>
    </w:p>
    <w:p>
      <w:r>
        <w:t>Bundesgericht (BGE), 1993-01-01, FR</w:t>
      </w:r>
    </w:p>
    <w:p>
      <w:r>
        <w:rPr>
          <w:b/>
        </w:rPr>
        <w:t xml:space="preserve">Quelle: </w:t>
      </w:r>
      <w:r>
        <w:t>https://mcp.opencaselaw.ch/entscheid/bge_BGE_119_II_361</w:t>
      </w:r>
    </w:p>
    <w:p>
      <w:r>
        <w:t>FR: ATF 119 II 361</w:t>
      </w:r>
    </w:p>
    <w:p>
      <w:r>
        <w:t>IT: DTF 119 II 361</w:t>
      </w:r>
    </w:p>
    <w:p>
      <w:pPr>
        <w:pStyle w:val="Heading2"/>
      </w:pPr>
      <w:r>
        <w:t>Regeste</w:t>
      </w:r>
    </w:p>
    <w:p>
      <w:r>
        <w:t>Regeste Versorgerschaden; Anrechnung von Versicherungsleistungen und des Gehalts der Witwe (Art. 45 OR, Art. 72 und 96 VVG, Art. 41 UVG). 1. Da das UVG die Subrogation für Zusatzleistungen des Versicherers nicht vorsieht, ist die Frage der Anrechnung dieser Leistungen mit Blick auf das VVG zu lösen. Kriterium für die Unterscheidung von Schadensversicherung und Summenversicherung. Die im Falle des Ablebens eines Menschen erbrachten Leistungen werden in der Regel - wie hier - aus Summenversicherung erbracht (E. 4). 2. Der Umstand, dass eine Frau nach dem Tode ihres Mannes eine Arbeit gegen Entgelt annimmt, vermag für sich alleine eine Herabsetzung der von ihr geforderten Entschädigung für Versorgerschaden nicht zu rechtfertigen (E. 5).</w:t>
      </w:r>
    </w:p>
    <w:p>
      <w:r>
        <w:t>Regeste Perte de soutien; imputation des prestations d'assurance et du salaire de la veuve (art. 45 CO, art. 72 et 96 LCA, art. 41 LAA). 1. La LAA ne prévoyant pas de subrogation pour les prestations complémentaires de l'assureur, le problème de l'imputation de ces prestations doit être résolu au regard de la LCA. Critère de distinction entre assurance contre les dommages et assurance de sommes. Les prestations versées en cas de décès d'une personne appartiennent généralement - comme c'est ici le cas - à cette dernière catégorie (consid. 4). 2. Le fait qu'une veuve prenne un emploi rémunéré après le décès de son mari ne justifie pas à lui seul une réduction de l'indemnité pour perte de soutien qu'elle réclame (consid. 5).</w:t>
      </w:r>
    </w:p>
    <w:p>
      <w:r>
        <w:t>Regesto Perdita di sostegno; imputazione delle prestazioni assicurative e del salario della vedova (art. 45 CO, art. 72 e 96 LCA, art. 41 LAINF). 1. La questione relativa all'imputazione delle prestazioni complementari dell'assicuratore deve essere risolta, non prevedendo la LAINF la surrogazione, in base alla LCA. Criterio per distinguere tra assicurazione contro i danni e assicurazione delle persone. Le prestazioni versate in caso di decesso rientrano di massima - come in concreto - in quest'ultima categoria (consid. 4). 2. Il fatto che una vedova svolga un lavoro rimunerato dopo la morte del marito non giustifica di per sé la riduzione della indennità richiesta per perdita di sostegno (consid. 5).</w:t>
      </w:r>
    </w:p>
    <w:p>
      <w:pPr>
        <w:pStyle w:val="Heading2"/>
      </w:pPr>
      <w:r>
        <w:t>Erwägungen</w:t>
      </w:r>
    </w:p>
    <w:p>
      <w:r>
        <w:rPr>
          <w:b/>
        </w:rPr>
        <w:t>E. 4</w:t>
      </w:r>
    </w:p>
    <w:p>
      <w:r>
        <w:t>La défenderesse reproche à la Cour de justice d'avoir violé le droit fédéral en renonçant à imputer les prestations de l'assurance-accidents complémentaire sur l'indemnité pour perte de soutien. En vertu de l' art. 41 LAA , dès la survenance de l'éventualité assurée, l'assureur est subrogé, jusqu'à concurrence des prestations légales, aux droits de l'assuré et de ses survivants contre tout tiers responsable de l'accident. Comme cela ressort expressément du texte de cette disposition, l'étendue du droit de recours est déterminée par le montant des prestations légales de l'assurance-accidents (Message du Conseil fédéral du 18 août 1976, in FF 1976 III 202). En d'autres termes, la LAA ne prévoit pas de subrogation pour les prestations complémentaires de l'assureur (GHÉLEW/RAMELET/RITTER, Commentaire de la loi sur l'assurance-accidents, p. 161, ch. 2; MAURER, Schweizerisches Unfallversicherungsrecht, p. 544 et p. 564 ad note de pied 1465; RUSCONI, Le recours de l'assureur dans la loi fédérale sur l'assurance-accidents, in Publications juridiques du Touring Club Suisse, no 7, p. 25 ss, 28; STEIN, Der Regress gemäss Unfallversicherungsgesetz, in dernier op. cit., p. 41; SCHAER, Grundzüge des Zusammenwirkens von Schadensausgleichssystemen, p. 235, note BGE 119 II 361 S. 364 de pied 16). C'est donc au regard de la loi fédérale sur le contrat d'assurance (LCA) qu'il convient d'examiner si la défenderesse, en tant qu'assureur privé, est au bénéfice d'un droit de recours pour les prestations qu'elle a effectuées sur la base du contrat d'assurance-accidents complémentaire à la LAA et si elle peut, de ce fait, réduire, jusqu'à concurrence du montant desdites prestations, l'indemnité pour perte de soutien qu'elle est tenue de verser à la demanderesse en sa qualité d'assureur en responsabilité civile du détenteur du véhicule qui a provoqué l'accident. Comme il n'est pas établi, ni même allégué, que le droit de recours de la défenderesse ait été stipulé dans le contrat en question (sur l'admissibilité, douteuse, d'une telle clause, cf. l' ATF 100 II 453 consid. 6 p. 461 ss), le seul problème à résoudre consiste à rechercher si les prestations litigieuses découlent d'une assurance contre les dommages ou d'une assurance de sommes, partant si elles sont régies par l' art. 72 LCA ou par l' art. 96 LCA ( ATF 104 II 44 ).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 ATF 104 II 44 consid. 4a p. 48).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(SCHAER, op.cit., p. 164, n. 471ter; MAURER, Schweizerisches Privatversicherungsrecht, 2e éd., p. 162/163). Autrement dit, dans l'assurance contre les dommages, la prétention de l'ayant droit n'est pas seulement attachée à un événement déterminé (une lésion corporelle dans l'assurance-accidents); elle est subordonnée, en outre, à l'existence d'un dommage, au sens juridique du terme, causé par cet événement ( ATF 104 II 44 consid. 4d p. 52/53). Les prestations versées en cas de décès d'une personne n'ont généralement pas pour fonction de couvrir un dommage déterminé et découlent dès lors d'une assurance de sommes (SCHAER, op.cit., p. 7, note de pied 12; MAURER, Privatversicherungsrecht, p. 253; KOENIG, Der Versicherungsvertrag, in Traité de droit privé suisse, vol. VII/2, p. 692; OFTINGER, Schweizerisches Haftpflichtrecht, 4e éd., p. 394 ss; BREHM, n. 61 ss ad art. 45 CO ; STAUFFER/SCHAETZLE, op.cit., p. 221, BGE 119 II 361 S. 365 n. 559; STARK, Ausservertragliches Haftpflichtrecht, Skriptum, 2e éd., p. 204, n. 982; ZEN-RUFFINEN, La perte de soutien, p. 151 ss). Peu importe, à cet égard, qu'elles permettent de couvrir, le cas échéant, une perte de soutien réelle et que cela corresponde à la volonté du preneur d'assurance. En effet, le propre de toute assurance, qu'il s'agisse d'une assurance contre les dommages ou d'une assurance de sommes, est de parer à d'éventuels revers de fortune. Le critère de distinction décisif ne réside donc pas dans le but, mais dans les conditions de la prestation. Ainsi, pour que l'on puisse parler d'une assurance contre les dommages, il faut que le sinistre assuré ait causé réellement une perte patrimoniale. Une telle exigence est, en revanche, étrangère à l'assurance de sommes; ici, la prestation de l'assureur n'est subordonnée qu'à la survenance de l'événement assuré - une atteinte portée au corps humain, à certaines conditions, dans l'assurance-accidents - sans égard à ses conséquences pécuniaires. Il suit de là qu'une assurance-accidents ne doit pas être rangée dans la catégorie des assurances contre les dommages du seul fait que les prestations auxquelles elle donne droit sont fixées sur la base du revenu de la victime - ce qui est d'ailleurs tout à fait usuel (MAURER, Privatversicherungsrecht, p. 466) -, car ce mode de calcul ne sert à déterminer que l'ampleur de ces prestations et non pas leur fondement juridique. En résumé, pour que l'on puisse parler d'une assurance contre les dommages en droit des assurances privées, il faut que les parties au contrat d'assurance aient fait de la perte patrimoniale une condition autonome du droit aux prestations ( ATF 104 II 44 consid. 4c p. 50 et les références; MAURER, Privatversicherungsrecht, p. 163 et p. 253, note de pied 610). Dans le cas particulier, il ne saurait donc être question d'une telle assurance que si le contrat d'assurance-accidents complémentaire à la LAA faisait dépendre le droit des survivants aux prestations qu'il inclut d'une perte de soutien effectivement subie par les intéressés. Or, rien de tel n'a été retenu par la cour cantonale ni établi par la défenderesse, et la lecture de la police ainsi que des conditions générales d'assurance ne permet pas de tirer une quelconque conclusion allant dans ce sens. L'assurance complémentaire doit dès lors être qualifiée d'assurance de sommes, ce qui entraîne l'application de l' art. 96 LCA qui consacre le cumul des prétentions de l'ayant droit contre l'auteur du dommage (en l'occurrence, son assureur en responsabilité civile) et contre l'assureur. C'est dire que la Cour de justice n'a pas violé le droit fédéral en refusant d'imputer la rente de veuve versée à la BGE 119 II 361 S. 366 demanderesse en exécution du contrat d'assurance-accidents complémentaire sur l'indemnité pour perte de soutien qu'elle lui a allouée.</w:t>
      </w:r>
    </w:p>
    <w:p>
      <w:r>
        <w:rPr>
          <w:b/>
        </w:rPr>
        <w:t>E. 5</w:t>
      </w:r>
    </w:p>
    <w:p>
      <w:r>
        <w:t>a) La défenderesse fait valoir, par ailleurs, qu'il était contraire au droit fédéral de ne pas prendre en considération le revenu de la veuve pour déterminer le besoin de soutien effectif de celle-ci. A cet égard, la Cour de justice constate que la demanderesse, âgée de 41 ans au moment du décès de son mari, n'exerçait plus d'activité lucrative depuis quelques années et consacrait tout son temps à sa famille qui comprenait, en plus des deux enfants demandeurs, deux autres enfants issus d'un premier mariage. Elle retient en outre que, si la demanderesse a néanmoins accepté de travailler pour le compte d'un tiers ..., c'est, sur le conseil de son médecin, pour surmonter le drame familial qu'elle avait vécu. Dès lors, compte tenu de ce que le salaire de la femme constitue un acquêt (sic) et du fait que la demanderesse participe à l'entretien des enfants de son premier mariage, il n'y a pas lieu d'imputer une partie de ce salaire sur la perte de soutien, de l'avis des juges précédents. Ceux-ci ne tiennent pas non plus compte de l'activité déployée par la demanderesse dans un autre établissement public genevois, étant donné que ce commerce n'a pu survivre que grâce à une mise de fonds de 400'000 francs de l'intéressée, effectuée postérieurement au moment déterminant pour le calcul de la perte de soutien. b) Contrairement au dommage qui résulte d'une invalidité, celui qui dérive de la perte de soutien ne doit pas être calculé de façon concrète jusqu'au jour du jugement rendu en dernière instance cantonale et de façon abstraite pour la période postérieure seulement; le calcul abstrait doit être fait au jour du décès, attendu que l'on ne sait pas si, sans l'accident, la victime aurait vécu jusqu'à la date du jugement. Cela ne signifie pas que le juge doive faire abstraction, dans l'appréciation de la perte de soutien, des faits postérieurs à la mort du soutien. Mais il doit faire preuve de retenue dans l'appréciation de ces faits ( ATF 97 II 123 consid. 6 p. 131; voir aussi l' ATF 113 II 323 consid. 3a p. 333); il ne saurait, en particulier, apprécier les circonstances existant au moment du jugement de façon unilatérale, dans l'intérêt d'une seule partie. Aussi le fait qu'une veuve, qui n'avait pas exercé d'activité lucrative jusque-là, ait pris un emploi rémunéré après le décès de son mari ne justifie-t-il pas à lui seul une réduction de l'indemnité pour perte de soutien qu'elle réclame ( ATF 59 II 461 consid. 2b p. 464); inversement, s'agissant du devoir qui est fait au lésé de diminuer son dommage, il n'est pas déterminant qu'une veuve renonce, pour des motifs d'ordre subjectif, à exercer BGE 119 II 361 S. 367 une activité lucrative après la mort du soutien. Seul est décisif, à cet égard, le point de savoir si l'on peut raisonnablement et objectivement exiger de sa part qu'elle acquière un revenu propre. Cette question doit être résolue en fonction de la situation personnelle de l'intéressée, notamment de son âge, de sa formation professionnelle et de ses charges familiales. La demanderesse avait 41 ans au moment du décès du soutien; elle se consacrait à son ménage et à l'éducation de ses deux enfants âgés de 4 et 3 ans ainsi que de ses deux autres enfants, déjà adolescents, issus d'un premier mariage. Dans de telles conditions, la doctrine exclut, en règle générale, le devoir de la veuve de prendre un emploi rémunéré pour diminuer son dommage (BREHM, n. 130/131 ad art. 45 CO et les références). Certes, le nouveau droit du mariage, qui met notamment l'accent sur la notion d'égalité des devoirs au sein du couple, n'est pas sans incidence sur le droit de la responsabilité civile (SCHAER, Der Versorgerschaden in einer sich wandelnden Wertordnung, in Mélanges Assista, 1989, p. 76 ss). Cependant, il ne faut pas perdre de vue que le droit de la veuve au maintien du genre de vie qu'elle a eu jusqu'au décès de son mari va plus loin que le droit à l'entretien découlant des effets généraux du mariage (BREHM, n. 130 ad art. 45 CO ). De plus, selon la jurisprudence, on ne peut, en principe, imposer à la femme divorcée qui n'exerce pas d'activité lucrative qu'elle le fasse après avoir atteint sa 45e année ou avant que le plus jeune de ses enfants ne soit âgé de 10, voire de 16 ans ( ATF 115 II 6 consid. 3c p. 10 et consid. 5a p. 11), tout cela sous réserve des conditions régnant sur le marché du travail, qui doivent également être prises en considération (BÜHLER/SPÜHLER, Ergänzungsband, n. 42 ad art. 151 CC ). Examinée à la lumière de ces critères, qu'il convient encore de relativiser en droit de la responsabilité civile, la décision des juges précédents de ne pas imputer sur la perte de soutien les revenus tirés par la demanderesse de l'activité lucrative qu'elle exerce depuis la mort de son second mari ne prête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