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II 20</w:t>
      </w:r>
    </w:p>
    <w:p>
      <w:r>
        <w:t>Bundesgericht (BGE), 1993-01-01, IT</w:t>
      </w:r>
    </w:p>
    <w:p>
      <w:r>
        <w:rPr>
          <w:b/>
        </w:rPr>
        <w:t xml:space="preserve">Quelle: </w:t>
      </w:r>
      <w:r>
        <w:t>https://mcp.opencaselaw.ch/entscheid/bge_BGE_119_II_20</w:t>
      </w:r>
    </w:p>
    <w:p>
      <w:r>
        <w:t>FR: ATF 119 II 20</w:t>
      </w:r>
    </w:p>
    <w:p>
      <w:r>
        <w:t>IT: DTF 119 II 20</w:t>
      </w:r>
    </w:p>
    <w:p>
      <w:pPr>
        <w:pStyle w:val="Heading2"/>
      </w:pPr>
      <w:r>
        <w:t>Regeste</w:t>
      </w:r>
    </w:p>
    <w:p>
      <w:r>
        <w:t>Regeste Art. 62 Abs. 2 und 67 Abs. 1 OR. Bereicherungsansprüche aus nicht verwirklichtem Zuwendungsgrund; Beginn der absoluten Verjährungsfrist. Beim bereicherungsrechtlichen Anspruch auf Rückerstattung von Leistungen aus nicht verwirklichtem Rechtsgrund beginnt die absolute Verjährungsfrist, sobald feststeht, dass sich der Zahlungs- oder Zuwendungsgrund nicht verwirklichen wird oder nicht mehr verwirklichen kann.</w:t>
      </w:r>
    </w:p>
    <w:p>
      <w:r>
        <w:t>Regeste Art. 62 al. 2 et 67 al. 1 CO. Prétentions fondées sur l'enrichissement en vertu d'une cause qui ne s'est pas réalisée; point de départ du délai de prescription absolu. Pour les prétentions en enrichissement illégitime fondées sur la restitution de prestations fournies en vertu d'une cause qui ne s'est pas réalisée, le délai de prescription absolu court dès qu'il est établi que la cause du paiement ou de l'attribution ne se réalisera pas ou qu'elle ne peut plus se réaliser.</w:t>
      </w:r>
    </w:p>
    <w:p>
      <w:r>
        <w:t>Regesto Art. 62 cpv. 2 e 67 cpv. 1 CO. Condictio causa data, causa non secuta o condictio ob causam futuram; decorrenza del termine di prescrizione assoluta. Nel caso della condictio causa data, causa non secuta, ossia della domanda in restituzione di quanto ricevuto in virtù di una causa che non si è avverata, il termine di prescrizione assoluta inizia a decorrere dal momento in cui è accertato che la causa del versamento o dell'attribuzione non si realizzerà o non può più realizzarsi.</w:t>
      </w:r>
    </w:p>
    <w:p>
      <w:pPr>
        <w:pStyle w:val="Heading2"/>
      </w:pPr>
      <w:r>
        <w:t>Erwägungen</w:t>
      </w:r>
    </w:p>
    <w:p>
      <w:r>
        <w:rPr>
          <w:b/>
        </w:rPr>
        <w:t>E. 2</w:t>
      </w:r>
    </w:p>
    <w:p>
      <w:r>
        <w:t>a) La Corte cantonale, giudicando che gli acconti versati dall'attore erano avvenuti sulla base di un contratto nullo, è partita dal presupposto che la causa dei versamenti era una promessa di vendita immobiliare e, dato ch'essa non soddisfava la forma richiesta, tali versamenti risultavano essere avvenuti senza causa valevole. La pretesa fondata sull'indebito arricchimento discenderebbe quindi dalla "condictio sine causa". La situazione appare tuttavia diversa. La causa del versamento degli acconti litigiosi non è una promessa di vendita - nulla poiché stipulata oralmente o mediante la semplice forma scritta -, ma bensì un credito futuro o un contratto futuro. Il versamento degli acconti è stato fatto a titolo futuro, in adempimento di un obbligo che doveva nascere da un contratto non ancora stipulato. Il testo della ricevuta convenzione è chiaro al proposito, poiché prevede che il saldo del BGE 119 II 20 S. 22 prezzo sarà versato al momento della celebrazione dell'atto pubblico di compravendita. Vi è quindi il segno evidente che il contratto, fonte di obblighi contrattuali reciproci per le parti, doveva essere stipulato solo in futuro. In siffatta evenienza, la causa dei versamenti non è l'adempimento di un obbligo, ma bensì l'aspettativa della sopravvenienza di un avvenimento futuro, ossia, in concreto, la stipulazione di un atto di vendita valido, notarile. Pertanto, se l'atto o l'atteso avvenimento futuro non si realizza, la prestazione risulta effettuata in virtù di una causa che non si è realizzata. Ciò implica per la parte che ha ricevuto la prestazione un obbligo di restituzione fondato sull' art. 62 cpv. 2 CO , che prevede espressamente questa ipotesi, la cd. condictio causa data, causa non secuta, o condictio ob causam futuram (cfr. DTF 115 II 29 seg., DTF 105 II 96 consid. 3a entrambe con riferimenti; sentenza inedita nella causa M del 10 settembre 1991; sentenza nella causa Marcel Morard &amp; Cie c. Comune di Plan-les-Ouates, apparsa in SJ 109/1987, pag. 155 consid. 2b; VON TUHR/PETER, Allgemeiner Teil OR, pag. 487 seg.; SCHULIN, Kommentar zum Schweizerischen Privatrecht, Obligationenrecht I, Basilea e Francoforte sul Meno 1992, n. 23 e 24 ad art. 62). b) Mentre il termine di prescrizione relativa comincia a decorrere dal giorno in cui il danneggiato ha conoscenza del suo diritto di ripetizione, quello di prescrizione assoluta di dieci anni decorre invece dal giorno della nascita di tale diritto ( art. 67 cpv. 1 CO ). Nel caso della condictio ob causam futuram, ossia della domanda in restituzione di quanto ricevuto in virtù di una causa che non si è avverata, il termine di prescrizione assoluta inizia a decorrere dal momento in cui è accertato che la causa del versamento o dell'attribuzione non si realizzerà o non può più realizzarsi (OSER/SCHÖNENBERGER, Zürcher Kommentar, n. 2 ad art. 67 CO ; WENNER, Die Voraussetzungen des Anspruches aus ungerechtfertigter Bereicherung unter besonderer Berücksichtigung des Problems der Subsidiarität, tesi Zurigo 1977, pag. 89). Il dies a quo del termine è l'esigibilità del credito (ENGEL, Traité des obligations, Neuchâtel 1973, pag. 407) e tale esigibilità sopraggiunge a partire dal momento in cui è scomparsa la causa sulla quale si fondava il versamento ( DTF 115 II 30 consid. b) ed è constatata tale scomparsa (sentenza citata, apparsa in SJ 109/1987, pag. 156; GAUCH/SCHLUEP, OR Allgemeiner Teil, 5a edizione, Zurigo 1991, n. 1559). c) Discende da queste considerazioni che a torto la Corte cantonale ha fatto decorrere il termine di prescrizione assoluta dell' art. 67 CO dal momento in cui sono stati versati gli acconti e ha giudicato BGE 119 II 20 S. 23 che si era in presenza di una condictio sine causa, consecutiva alla nullità ex tunc del contratto. Non vi è infatti alcun contratto fra le parti, né promessa di contratto, ma unicamente versamenti effettuati nell'attesa di un contratto a venire. Pertanto, pure a torto la Corte cantonale ha considerato acquisita la prescrizione assoluta, poiché le sole date che possono eventualmente entrare in considerazione per la decorrenza del termine di prescrizione assoluta sono, oltre l'alienazione del fondo ad un terzo, il decesso del venditore o l'attribuzione del fondo a un erede dopo la divisione, a condizione che a queste date si potesse oggettivamente ritenere che la vendita non sarebbe più avvenuta. Ora, risalendo dalla data dell'inoltro della petizione questi due momenti si situano ad ogni modo a date inferiori a dieci anni. Il ricorso deve quindi essere accolto poiché la Corte cantonale ha erroneamente applicato la norma dell' art. 67 CO sulla prescrizione assoluta.</w:t>
      </w:r>
    </w:p>
    <w:p>
      <w:r>
        <w:rPr>
          <w:b/>
        </w:rPr>
        <w:t>E. 3</w:t>
      </w:r>
    </w:p>
    <w:p>
      <w:r>
        <w:t>L'accoglimento del ricorso non consente tuttavia al Tribunale federale di riformare la sentenza impugnata. In effetti i ricorrenti hanno pure eccepito l'acquisizione della prescrizione relativa di un anno dacché l'attore ha avuto conoscenza del suo diritto. Ora, la sentenza impugnata, a seguito della soluzione adottata, non si è pronunciata né in fatto né in diritto sulla decorrenza del termine di prescrizione relativa, ossia sul momento in cui l'attore ha avuto conoscenza del suo diritto di ripetizione. La causa deve quindi essere rinviata alla Corte cantonale in applicazione dell' art. 64 cpv. 1 OG , affinché completi gli accertamenti di fatto necessari alla soluzione del problema della prescrizione relativa.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