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16</w:t>
      </w:r>
    </w:p>
    <w:p>
      <w:r>
        <w:t>Bundesgericht (BGE), 1993-01-01, DE</w:t>
      </w:r>
    </w:p>
    <w:p>
      <w:r>
        <w:rPr>
          <w:b/>
        </w:rPr>
        <w:t xml:space="preserve">Quelle: </w:t>
      </w:r>
      <w:r>
        <w:t>https://mcp.opencaselaw.ch/entscheid/bge_BGE_119_II_16</w:t>
      </w:r>
    </w:p>
    <w:p>
      <w:r>
        <w:t>FR: ATF 119 II 16</w:t>
      </w:r>
    </w:p>
    <w:p>
      <w:r>
        <w:t>IT: DTF 119 II 16</w:t>
      </w:r>
    </w:p>
    <w:p>
      <w:pPr>
        <w:pStyle w:val="Heading2"/>
      </w:pPr>
      <w:r>
        <w:t>Regeste</w:t>
      </w:r>
    </w:p>
    <w:p>
      <w:r>
        <w:t>Regeste Vormerkung eines Mietvertrages im Grundbuch (Art. 959 ZGB). 1. Die Kognition des Grundbuchbeamten beschränkt sich im Eintragungsverfahren auf die Prüfung der grundbuchlichen Voraussetzungen und der Formerfordernisse. Die Überprüfung materiellen Rechts steht ihm nicht zu; er darf eine richterliche Anordnung nur dann nicht vollziehen, wenn die gesetzlichen Voraussetzungen des einzutragenden Rechts offensichtlich nicht gegeben sind. 2. Voraussetzungen für die Vormerkung eines Mietvertrages.</w:t>
      </w:r>
    </w:p>
    <w:p>
      <w:r>
        <w:t>Regeste Annotation d'un contrat de bail au registre foncier (art. 959 CC). 1. Dans la procédure d'inscription au registre foncier, le pouvoir d'examen du préposé est limité aux exigences légales spécifiques au registre foncier et aux conditions de forme. Son examen ne s'étend pas au droit matériel; il ne peut s'opposer à l'exécution d'un prononcé judiciaire que lorsque les conditions légales de l'inscription ne sont manifestement pas remplies. 2. Conditions de l'annotation d'un contrat de bail au registre foncier.</w:t>
      </w:r>
    </w:p>
    <w:p>
      <w:r>
        <w:t>Regesto Annotazione nel registro fondiario di un contratto di locazione (art. 959 CC). 1. Nella procedura volta all'iscrizione di un diritto nel registro fondiario, il potere d'esame dell'ufficiale del registro è limitato all'esame delle esigenze legali specifiche al registro fondiario e alla verifica delle prescrizioni di forma. Il suo esame non comprende invece la verifica del diritto materiale; egli può opporsi all'esecuzione di un ordine giudiziale solo se è evidente che le condizioni legali del diritto da iscrivere non sono adempiute. 2. Condizioni per l'annotazione nel registro fondiario di un diritto di locazione.</w:t>
      </w:r>
    </w:p>
    <w:p>
      <w:pPr>
        <w:pStyle w:val="Heading2"/>
      </w:pPr>
      <w:r>
        <w:t>Erwägungen</w:t>
      </w:r>
    </w:p>
    <w:p>
      <w:r>
        <w:rPr>
          <w:b/>
        </w:rPr>
        <w:t>E. 2</w:t>
      </w:r>
    </w:p>
    <w:p>
      <w:r>
        <w:t>Die Regierung schützte die Abweisungsverfügung des Grundbuchamtes, da aus der richterlichen Verfügung nicht mit genügender Klarheit hervorgehe, was für ein Anspruch und aus welchem Rechtsgrund dieser geltend gemacht worden sei. Überdies ergebe sich aus dem Mietvertrag keine genügende Grundlage für dessen Vormerkung im Grundbuch. a) Jede grundbuchliche Verfügung setzt voraus, dass sich der Gesuchsteller über seine Verfügungsberechtigung und über den Rechtsgrund ausweist ( Art. 965 ZGB ). Der Grundbuchverwalter hat im wesentlichen nur zu prüfen, ob die Formerfordernisse erfüllt sind. Dagegen hat er sich grundsätzlich nicht um den materiellen Bestand des Rechtsverhältnisses zu kümmern, sondern er hat eine Anmeldung BGE 119 II 16 S. 18 nur dann abzuweisen, wenn sich diese auf einen offensichtlich nichtigen Rechtstitel stützt. Ferner muss der Grundbuchverwalter prüfen, ob das angemeldete Recht sich seiner Natur nach zur Aufnahme ins Grundbuch eignet (BGE BGE 116 II 292 E. 2; BGE 114 II 326 E. 2b; DESCHENAUX, Das Grundbuch, SPR V/3, I, S. 495 ff.; REY, Die Grundlagen des Sachenrechts und das Eigentum, Band I, S. 316 N. 1509 ff.; STEINAUER, Les droits réels, Tome premier, deuxième édition, S. 232 N. 848 ff.). Er entscheidet im Eintragungsverfahren allein gestützt auf die ihm vorgelegten Urkunden; er kann somit weder Gutachten einholen noch Zeugen vernehmen ( BGE 112 II 29 E. 2). Stützt sich eine Anmeldung - wie im vorliegenden Fall - auf einen richterlichen Entscheid, so hat der Grundbuchverwalter lediglich zu untersuchen, ob der betreffende Richter zuständig war und die Anordnung gegen die gemäss Grundbuch legitimierte Person ergriffen wurde, nicht aber, ob der Entscheid materiell stichhaltig sei. Eine Prüfungsbefugnis unter dem Gesichtspunkt des materiellen Rechts ist ihm insofern zuzugestehen, als er zur Verweigerung des Grundbucheintrages befugt sein muss, wenn sich aus dem Entscheid eindeutig ergibt, dass gesetzliche Voraussetzungen des einzutragenden Rechts offensichtlich nicht erfüllt sind. In jedem Fall hat der Grundbuchverwalter sodann auch bei der sich auf einen Gerichtsentscheid stützenden Anmeldung die grundbuchrechtlichen Voraussetzungen insoweit zu prüfen, als er die Eintragung eines nicht eintragungsfähigen Rechts zu verweigern hat ( BGE 102 Ib 11 E. 2b mit Hinweisen; DESCHENAUX, a.a.O., S. 508 ff.; HUTTER, Die richterliche Anweisung an das Grundbuchamt, Diss. Zürich 1992, S. 162/163). Andererseits braucht der Eintrag nicht das Spiegelbild der Anmeldung zu sein, d.h. der Grundbuchverwalter ist an die in der Anmeldung verwendeten Begriffe nicht gebunden und darf den Eintrag gegenüber den Anmeldung verbessern (HUTTER, a.a.O., S. 111). b) In der Verfügung des Kreispräsidenten wird ausdrücklich auf die vom Grundbuchamt am 14. Januar 1992 vorbereitete Anmeldung verwiesen. Ob in einer im Rahmen eines kantonalen Befehlsverfahrens ergangenen Anordnung das Dispositiv im Hinblick auf Art. 74 Abs. 1 GBV allenfalls geschickter abgefasst werden könnte, kann offen bleiben, sofern die vorzunehmende Handlung daraus unmissverständlich hervorgeht. Durch den Verweis auf die grundbuchtechnisch einwandfrei abgefasste Anmeldung, welche die Parteien, das Grundstück, den Mietvertrag und die Vormerkungsdauer umschreibt, wird diese gleichsam zum Bestandteil der richterlichen Verfügung. Für den Grundbuchverwalter sollte daher kein Zweifel BGE 119 II 16 S. 19 bestehen, wie er die Verfügung des Kreispräsidenten zu vollstrecken hat. Hier derart rigorose Formvorschriften aufzustellen, wie die Regierung sich dies vorstellt, wäre sachlich nicht gerechtfertigt und käme dadurch formeller Rechtsverweigerung in Gestalt des überspitzten Formalismus gleich ( BGE 115 Ia 17 E. 3b). c) Dass der Kreispräsident zum Erlass des Amtsbefehls zuständig war, war immer unbestritten. Ebenso wurde nie in Zweifel gezogen, dass die von ihm angeordnete Vorkehr grundbuchtechnisch durchaus vollziehbar ist. Da sein Entscheid vom Grundbuchverwalter auf die materielle Richtigkeit nicht zu überprüfen ist, gibt es überhaupt keinen Grund, diesem nicht Folge zu leisten. d) Selbst wenn die Prüfungsbefugnis des Grundbuchverwalters weiter gezogen wird, als dies nach der Rechtsprechung und der Lehre der Fall ist, kann er die Voraussetzungen für die Vormerkung des Mietvertrages als gegeben erachten. Die Vertragsparteien sind nämlich übereingekommen, dass der Mietvertrag im Grundbuch vorgemerkt werden kann. Dass sie bei der Vertragsabfassung den grundbuchtechnisch falschen Ausdruck "eintragen" verwendet haben, kann keine Rolle spielen, da beiden Seiten klar war, was damit gemeint war. Überdies war vor Erlass des Amtsbefehls sowohl seitens der Vertragsparteien wie auch seitens des Grundbuchamtes immer nur von einer Vormerkung des Vertrages die Rede. Die Beschwerdeführerin hat von ihrem Verlängerungsrecht vertragskonform Gebrauch gemacht, was durch den angefochtenen Entscheid bestätigt wird; der Mietvertrag ist somit auf jeden Fall bis zum 31. Dezember 1997 gültig, womit auch die zeitliche Begrenzung, wie sie in Art. 71 Abs. 2 GBV gefordert wird, klar feststeht. Der Hinweis der Regierung auf BGE 81 I 75 ff., der für den Fall der stillschweigenden Weiterdauer eines Mietvertrages die Vormerkung auf die fest vereinbarte Vertragsdauer begrenzt, ist damit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