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75</w:t>
      </w:r>
    </w:p>
    <w:p>
      <w:r>
        <w:t>Bundesgericht (BGE), 1993-01-01, IT</w:t>
      </w:r>
    </w:p>
    <w:p>
      <w:r>
        <w:rPr>
          <w:b/>
        </w:rPr>
        <w:t xml:space="preserve">Quelle: </w:t>
      </w:r>
      <w:r>
        <w:t>https://mcp.opencaselaw.ch/entscheid/bge_BGE_119_III_75</w:t>
      </w:r>
    </w:p>
    <w:p>
      <w:r>
        <w:t>FR: ATF 119 III 75</w:t>
      </w:r>
    </w:p>
    <w:p>
      <w:r>
        <w:t>IT: DTF 119 III 75</w:t>
      </w:r>
    </w:p>
    <w:p>
      <w:pPr>
        <w:pStyle w:val="Heading2"/>
      </w:pPr>
      <w:r>
        <w:t>Regeste</w:t>
      </w:r>
    </w:p>
    <w:p>
      <w:r>
        <w:t>Regeste Rechtsvorschlag in der Wechselbetreibung; Hinterlegung der Forderungssumme. 1. Die Verfügung, mit der dem Gläubiger einerseits die Hinterlegung der Forderungssumme durch den Betriebenen angezeigt und andererseits Frist zur Anhebung der Klage auf Zahlung angesetzt wird, ist ein Endentscheid im Sinne von Art. 87 OG (E. 1a). 2. Eine Solidarbürgschaft stellt keine hinreichende Hinterlegung im Sinne von Art. 182 Ziff. 4 SchKG dar (E. 2).</w:t>
      </w:r>
    </w:p>
    <w:p>
      <w:r>
        <w:t>Regeste Opposition dans la poursuite pour effets de change; dépôt du montant de l'effet. 1. Constitue une décision finale, au sens de l'art. 87 OJ, l'ordonnance par laquelle le créancier est, d'une part, avisé que le poursuivi a déposé le montant de l'effet et, d'autre part, invité à intenter l'action en paiement (consid. 1a). 2. Un cautionnement solidaire n'est pas un dépôt suffisant au sens de l'art. 182 ch. 4 LP (consid. 2).</w:t>
      </w:r>
    </w:p>
    <w:p>
      <w:r>
        <w:t>Regesto Opposizione nell'esecuzione cambiaria; deposito della somma per cui si procede. 1. Costituisce una decisione finale ai sensi dell'art. 87 OG l'ordinanza con cui, da un lato, si comunica al creditore che l'escusso ha depositato la somma per cui si procede e, dall'altro, lo si diffida a promuovere l'azione di pagamento (consid. 1a). 2. Un atto di fideiussione solidale non può essere considerato un deposito sufficiente ai sensi dell'art. 182 n. 4 LEF (consid. 2).</w:t>
      </w:r>
    </w:p>
    <w:p>
      <w:pPr>
        <w:pStyle w:val="Heading2"/>
      </w:pPr>
      <w:r>
        <w:t>Erwägungen</w:t>
      </w:r>
    </w:p>
    <w:p>
      <w:r>
        <w:rPr>
          <w:b/>
        </w:rPr>
        <w:t>E. 1</w:t>
      </w:r>
    </w:p>
    <w:p>
      <w:r>
        <w:t>a) Contrariamente all'opinione dell'escusso, l'ordinanza impugnata non si limita a fissare al ricorrente il termine di dieci giorni BGE 119 III 75 S. 77 previsto dall' art. 184 cpv. 2 LEF , ma accettando, quale deposito giusta l' art. 182 n. 4 LEF , la fideiussione bancaria prodotta dallo stesso escusso, conferma la validità dell'opposizione. Si tratta pertanto di una decisione finale secondo l' art. 87 OG contro la quale è esperibile un ricorso di diritto pubblico (cfr. DTF 104 III 96 consid. 1; DTF 95 I 253 segg., in particolare il consid. 3).</w:t>
      </w:r>
    </w:p>
    <w:p>
      <w:r>
        <w:rPr>
          <w:b/>
        </w:rPr>
        <w:t>E. 2</w:t>
      </w:r>
    </w:p>
    <w:p>
      <w:r>
        <w:t>a) L' art. 182 n. 4 LEF prevede il deposito della somma per cui si procede "in danaro o valori". La giurisprudenza ha già avuto modo di precisare che tale deposito non rappresenta una garanzia alla stregua di una costituzione in pegno, ma un pagamento anticipato condizionato che estingue il debito ( DTF 110 III 34 consid. 2; DTF 104 III 96 consid. 1; DTF 42 III 364 seg.). Tale opinione è condivisa dalla dottrina (cfr. oltre agli autori citati nelle predette sentenze anche: AMONN, Grundriss des Schuldbetreibungs- und Konkursrechts, 5a ed., § 37 n. 32, e GILLIÉRON, Poursuite pour dettes, faillite et concordat, 2a ed., pag. 259 in fondo). b) Il ricorrente giudica del tutto incompatibile con l' art. 182 n. 4 LEF , e quindi arbitraria, l'accettazione quale deposito di un atto di fideiussione. Egli nega che si tratti, come lo esige la legge, di un valore subito realizzabile e rileva che, nel caso in esame, la fideiussione è tanto meno accettabile, in quanto è stata prestata a favore del Tribunale di appello e non del creditore procedente. c) La ragione per la quale la legge esige un deposito in denaro o in titoli facilmente realizzabili consiste nel fatto che, attraverso tali valori, il credito dev'essere immediatamente soddisfatto e non semplicemente garantito. Di conseguenza la giurisprudenza ha ritenuto insufficiente il deposito di obbligazioni non quotate in borsa, prive di un corso fisso ( DTF 110 III 33 segg.). Il fideiussore, anche solidale, dispone di eccezioni proprie, indipendenti da quelle del debitore principale, a cui non può rinunciare ( art. 492 cpv. 4 CO ). Egli può, ad esempio, sollevare l'eccezione di invalidità dell'atto di fideiussione oppure fornire garanzie reali ( art. 501 cpv. 2 CO ; GUHL/MERZ/DRUEY, Das Schweizerische Obligationenrecht, 8a ed., pag. 568 n. 2). A ciò si aggiunge che, in concreto, la banca dichiara di costituirsi fideiussore solidale non verso il creditore, ma verso l'autorità cantonale. La fideiussione non assicura quindi l'immediato e incondizionato soddisfacimento del credito ed è pertanto escluso che possa essere considerata un deposito sufficiente ai sensi dell' art. 182 n. 4 LEF . Ciò giustifica l'accoglimento del ricorso e l'annullamento della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