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374 vom 1. Januar 1993</w:t>
      </w:r>
    </w:p>
    <w:p>
      <w:r>
        <w:t>Bundesgericht (BGE), 1993-01-01, DE</w:t>
      </w:r>
    </w:p>
    <w:p>
      <w:r>
        <w:rPr>
          <w:b/>
        </w:rPr>
        <w:t xml:space="preserve">Quelle: </w:t>
      </w:r>
      <w:r>
        <w:t>https://mcp.opencaselaw.ch/entscheid/bge_BGE_119_IB_374</w:t>
      </w:r>
    </w:p>
    <w:p>
      <w:r>
        <w:t>FR: BGE BGE 119 IB 374 du 1 janvier 1993</w:t>
      </w:r>
    </w:p>
    <w:p>
      <w:r>
        <w:t>IT: BGE BGE 119 IB 374 del 1 gennaio 1993</w:t>
      </w:r>
    </w:p>
    <w:p>
      <w:pPr>
        <w:pStyle w:val="Heading2"/>
      </w:pPr>
      <w:r>
        <w:t>Regeste</w:t>
      </w:r>
    </w:p>
    <w:p>
      <w:r>
        <w:t>Regeste Art. 40 Abs. 1 lit. g EBG und Art. 48 VwVG; Beschwerdebefugnis von Gewerkschaften im eisenbahnrechtlichen Anstandsverfahren um Ladenöffnungszeiten. Die Gewerkschaft Verkauf, Handel, Transport, Lebensmittel (VHTL) und der Kaufmännische Verband Zürich (KVZ) sind weder nach Art. 48 lit. a VwVG (E. 2a) noch nach dessen lit. b (E. 2b) legitimiert, eine im eisenbahnrechtlichen Anstandsverfahren ergangene Verfügung über Nebenbetriebsstatus und Öffnungszeiten von Verkaufsgeschäften im Hauptbahnhof Zürich mit Verwaltungsbeschwerde beim Eidgenössischen Verkehrs- und Energiewirtschaftsdepartement anzufechten.</w:t>
      </w:r>
    </w:p>
    <w:p>
      <w:r>
        <w:t>Regeste Art. 40 al. 1 let. g LCF et art. 48 PA; qualité pour recourir des syndicats dans une procédure relevant de la législation sur les chemins de fer et relative à des contestations portant sur les heures d'ouverture des magasins. La Fédération des travailleurs du commerce, des transports et de l'alimentation (FCTA) et la Société des employés de commerce, section Zurich (SEC) n'ont, ni en vertu de la lettre a de l'art. 48 PA (consid. 2a), ni au regard de la lettre b de cette même disposition (consid. 2b), qualité pour former un recours administratif auprès du Département fédéral des transports, des communications et de l'énergie contre une décision prise par l'autorité de surveillance dans une procédure relevant de la législation sur les chemins de fer et relative aux contestations portant sur le statut des services accessoires et les heures d'ouverture des magasins dans la gare principale de Zurich.</w:t>
      </w:r>
    </w:p>
    <w:p>
      <w:r>
        <w:t>Regesto Art. 40 cpv. 1 lett. g LFerr e art. 48 PA; legittimazione a ricorrere dei sindacati nelle procedure concernenti contestazioni ai sensi della legislazione sulle ferrovie e relative agli orari di apertura dei negozi. La Federazione svizzera dei lavoratori del commercio, dei trasporti e dell'alimentazione (FCTA) e la Società svizzera degli impiegati di commercio, sezione Zurigo, non sono legittimate, né secondo l'art. 48 lett. a (consid. 2a), né giusta la lettera b di questa norma (consid. 2b), a proporre ricorso amministrativo dinanzi al Dipartimento federale dei trasporti, delle comunicazioni e delle energie contro una decisione emanata nell'ambito di procedure concernenti contestazioni ai sensi della legislazione sulle ferrovie e relative allo statuto dei servizi accessori e agli orari di apertura dei negozi nella stazione centrale di Zurigo.</w:t>
      </w:r>
    </w:p>
    <w:p>
      <w:pPr>
        <w:pStyle w:val="Heading2"/>
      </w:pPr>
      <w:r>
        <w:t>Erwägungen</w:t>
      </w:r>
    </w:p>
    <w:p>
      <w:r>
        <w:rPr>
          <w:b/>
        </w:rPr>
        <w:t>E. 2</w:t>
      </w:r>
    </w:p>
    <w:p>
      <w:r>
        <w:t>Die Legitimation zur Verwaltungsbeschwerde gegen den Entscheid des Bundesamtes bestimmt sich nach Art. 48 VwVG (vgl. BGE 116 Ib 349 E. 2c; bestätigt im unveröffentlichten Entscheid vom 8. November 1990 i.S. Mietervereinigung Zentrum Hauptbahnhof Zürich u. Mitb. c. EVED, E. 2a). Nach dieser Bestimmung kann Beschwerde führen, wer durch die angefochtene Verfügung berührt ist und ein schutzwürdiges Interesse an deren Aufhebung oder Änderung hat (lit. a), oder jede andere Person, Organisation oder Behörde, die das Bundesrecht als solche zur Beschwerde ermächtigt (lit. b). a) aa) Das schutzwürdige Interesse nach Art. 48 lit. a VwVG kann rechtlicher oder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Ihnen kommt dann besondere Bedeutung zu, wenn, wie hier,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abgeändert wird. Sein Interesse besteht im praktischen Nutzen, den ihm die erfolgreiche Beschwerde eintragen würde, das heisst in der Abwendung eines materiellen oder ideellen Nachteils, den der angefochtene Entscheid für ihn zur Folge hätte ( BGE 116 Ib 323 E. 2a). Einem Berufsverband steht die Beschwerdelegitimation nach Art. 48 lit. a VwVG zur Wahrung der Interessen seiner Mitglieder zu, wenn er als juristische Person konstituiert ist, die einzelnen Mitglieder BGE 119 Ib 374 S. 377 zur Beschwerde legitimiert wären, die Wahrung der Interessen der Mitglieder zu seinen statutarischen Aufgaben gehört und er tatsächlich ein Interesse der Mehrheit oder mindestens einer Grosszahl seiner Mitglieder vertritt ( BGE 113 Ib 365 E. 2a; ALFRED KÖLZ/ISABELLE HÄNER, Verwaltungsverfahren und Verwaltungsrechtspflege des Bundes, Zürich 1993, Rz. 244; FRITZ GYGI, Bundesverwaltungsrechtspflege, Bern 1983, S. 159 ff.). bb) Die Gewerkschaft Verkauf, Handel, Transport, Lebensmittel (VHTL) ist ein Verein im Sinne von Art. 60 ZGB , der nach Art. 2 seiner Statuten als Arbeitnehmerorganisation die materiellen, beruflichen, sozialen und kulturellen Interessen seiner Mitglieder wahrnimmt und für eine gerechte Gesellschaft- und Wirtschaftsordnung kämpft. Die Verfügung des Bundesamtes für Verkehr über die Bahnnebenbetriebe und ihre Öffnungszeiten im Hauptbahnhof Zürich berührte ihn nicht unmittelbar in seiner eigenen rechtlichen oder tatsächlichen Stellung; mit der Beschwerde an das Departement hätte er bei einem Obsiegen weder einen materiellen noch einen ideellen Nachteil von sich selber abwenden können, weshalb das Departement ihm die Beschwerdelegitimation nacht Art. 48 lit. a VwVG zu Recht abgesprochen hat. Dasselbe gilt für den Kaufmännischen Verband Zürich (KVZ), der die "Sicherung und Verbesserung der wirtschaftlichen, sozialen, gesellschaftlichen und rechtlichen Lage seiner Mitglieder" bezweckt. Dass beide Organisationen die Interessen des Verkaufspersonals zu schützen suchen und als Vertragspartner an einer Vielzahl von Gesamtarbeitsverträgen beteiligt sind, lässt sie durch den Entscheid des Bundesamtes noch nicht in einem schutzwürdigen, eigenen Interessen betroffen erscheinen. cc) Die Beschwerdeführer berufen sich sinngemäss auch auf ein Beschwerderecht zugunsten ihrer Mitglieder. Zu Unrecht: Wenn überhaupt, sind höchstens einige wenige der rund 25'000 VHTL- und der etwa 16'000 KVZ-Mitglieder durch den Entscheid des Bundesamtes für Verkehr betroffen. Ob diese selber zur Beschwerde legitimiert wären, braucht unter diesen Umständen nicht geprüft zu werden. Die Beschwerdeführer machen zwar geltend, es komme nicht darauf an, wie viele Gewerkschaftsmitglieder in den entsprechenden Betrieben beschäftigt würden, sondern allein darauf, dass "mit Sicherheit, mindestens mit grösster Wahrscheinlichkeit, immer wieder Mitglieder der beiden Arbeitnehmerverbände in den betroffenen Läden tätig sein" werden. Wenn nach den privaten Erhebungen der Beschwerdegegner (die Beschwerdeführer konnten keine entsprechenden Angaben liefern) von den 183 Angestellten im Hauptbahnhof BGE 119 Ib 374 S. 378 Zürich zurzeit nur gerade zwei Mitglieder des KVZ sind, hingegen keiner dem VHTL angehört, erscheint bereits jene Vorgabe zweifelhaft; unabhängig hiervon ist aber die Konstruktion einer virtuellen Betroffenheit, welche daraus abzuleiten wäre, dass die Mitglieder der beiden Verbände zumindest potentielles Verkaufspersonal im Hauptbahnhof Zürich bilden, der Beschwerdelegitimation nach Art. 48 lit. a VwVG und Art. 103 lit. a OG fremd. Das Eidgenössische Verkehrs- und Energiewirtschaftsdepartement ist demnach auf die Eingabe der beiden Arbeitnehmerorganisationen auch unter diesem Gesichtswinkel zu Recht nicht eingetreten. b) Zu prüfen bleibt, ob die Beschwerdeführer allenfalls gestützt auf eine andere Bestimmung des Bundesrechts - insbesondere der Arbeitsgesetzgebung - zur Beschwerde legitimiert gewesen wären ( Art. 48 lit. b VwVG ). aa) Nach dem Bundesgesetz vom 13. März 1964 über die Arbeit in Industrie, Gewerbe und Handel (Arbeitsgesetz, ArG; SR 822.11) ist Nacht- und Sonntagsarbeit grundsätzlich verboten ( Art. 16 und Art. 18 ArG ). Die kantonale Behörde kann vorübergehende Nacht- und Sonntagsarbeit bewilligen, sofern ein dringendes Bedürfnis nachgewiesen ist; das Bundesamt für Industrie, Gewerbe und Arbeit bewilligt für industrielle, die kantonale Behörde für andere Betriebe die dauernde oder regelmässig wiederkehrende Nacht- oder Sonntagsarbeit, wenn eine solche aus technischen oder wirtschaftlichen Gründen unentbehrlich erscheint ( Art. 17 und Art. 19 ArG ). Die entsprechenden Entscheide können mit Beschwerde angefochten werden, wobei hierzu neben den beteiligten Arbeitgebern und Arbeitnehmern auch "deren Verbände" legitimiert sind, ohne dass es darauf ankäme, ob die betroffenen Arbeitnehmer oder einzelne von ihnen Verbandsmitglieder sind ( Art. 58 Abs. 1 ArG ; BGE 116 Ib 271 E. 1a, 286 E. 1b). bb) Aus dieser Regelung lässt sich für das eisenbahnrechtliche Anstandsverfahren nichts ableiten. Die Verfügung des Bundesamtes für Verkehr ergeht weder in Anwendung des Arbeitsgesetzes noch durch eine der dort vorgesehenen Behörden. Wenn der eisenbahnrechtliche Entscheid über den Nebenbetriebsstatus und die Öffnungszeiten mit Blick auf Art. 65 ff. der Vo II zum ArG (Sonderbestimmungen für bestimmte Gruppen von Betrieben oder Arbeitnehmern) für Kioske und Betriebe, die den Bedürfnissen der Reisenden dienen, unter Umständen auch gewisse arbeitsrechtliche Konsequenzen nach sich zieht, rechtfertigt dies eine Ausdehnung der in Art. 58 ArG enthaltenen Verbandsbeschwerdebefugnis - über den direkten BGE 119 Ib 374 S. 379 Anwendungsbereich dieses Gesetzes hinaus - nicht: Bahnnebenbetriebe sind gerade wegen ihres besonderen, an die Bedürfnisse der Reisenden und des Bahnbetriebes geknüpften Status, über den die eisenbahnrechtlichen Aufsichtsbehörden zu befinden haben, von gewissen Regelungen des Arbeitsgesetzes ausgenommen; die nur dort vorgesehene Verbandsbeschwerde kann ohne besondere gesetzliche Grundlage nicht einfach auf das eisenbahnrechtliche Anstandsverfahren übertragen werden. Art. 39 EBG regelt als spezielleres Gesetz indirekt die Voraussetzungen, unter denen in Bahnnebenbetrieben Nacht- oder Sonntagsarbeit zulässig ist; gebieten die Bedürfnisse des Bahnbetriebes und der Reisenden abweichende Öffnungszeiten, rechtfertigt sich auch die Anwendung arbeitsrechtlicher Sonderbestimmungen. Art. 65 Vo II zum ArG behält in Abs. 4 die Verfügungen der Eisenbahnaufsichtsbehörden nach Art. 40 Abs. 1 lit. g EBG ausdrücklich vor. Das Bundesgesetz vom 8. Oktober 1971 über die Arbeit in Unternehmen des öffentlichen Verkehrs (Arbeitszeitgesetz, AZG; SR 822.21), dem gemäss dessen Art. 1 Abs. 4 durch Verordnung "Nebenbetriebe, die eine notwendige oder zweckmässige Ergänzung eines in Absatz 1 genannten Unternehmens bilden", unterstellt und damit im Hinblick auf die besonderen Bedürfnisse des Reiseverkehrs dem Geltungsbereich des Arbeitsgesetzes ganz entzogen werden können ( Art. 2 Abs. 1 lit. b ArG ), sieht seinerseits die Möglichkeit einer - Art. 58 Abs. 1 ArG entsprechenden - Verbandsbeschwerde nicht vor (vgl. Art. 18 Abs. 2 und 3 AZG ). Kantonale Ladenschlussvorschriften dürfen heute nur noch der Sicherung der Nacht- und Feiertagsruhe und allenfalls dem Schutz der nicht dem Arbeitsgesetz unterstehenden Personen dienen; der Arbeitnehmerschutz als solcher ist durch das eidgenössische Arbeitsgesetz grundsätzlich abschliessend geregelt ( BGE 101 Ia 486 ff. E. 7). Geht es in Art. 39 Abs. 3 EBG nun aber primär um Abweichungen von kantonal- und kommunalrechtlichen Ladenschlussvorschriften, welche gerade nicht dem Schutz des Personals dienen, rechtfertigt sich eine Ausdehnung der Beschwerdebefugnis der Gewerkschaften auf das eisenbahnrechtliche Anstandsverfahren auch vor diesem Hintergrund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